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  <w:jc w:val="center"/>
      </w:pPr>
      <w:r>
        <w:rPr>
          <w:rFonts w:ascii="Georgia" w:cs="Georgia" w:eastAsia="Georgia" w:hAnsi="Georgia"/>
          <w:b/>
          <w:bCs/>
          <w:color w:val="B85042"/>
          <w:sz w:val="28"/>
          <w:szCs w:val="28"/>
        </w:rPr>
        <w:t xml:space="preserve">Anomaly Detection &amp; Market Basket Analysis</w:t>
      </w:r>
    </w:p>
    <w:p>
      <w:pPr>
        <w:spacing w:after="160"/>
        <w:jc w:val="center"/>
      </w:pPr>
      <w:r>
        <w:rPr>
          <w:rFonts w:ascii="Calibri" w:cs="Calibri" w:eastAsia="Calibri" w:hAnsi="Calibri"/>
          <w:i/>
          <w:iCs/>
          <w:color w:val="6B5B4F"/>
          <w:sz w:val="20"/>
          <w:szCs w:val="20"/>
        </w:rPr>
        <w:t xml:space="preserve">The “Know It Cold” Reference Sheet</w:t>
      </w:r>
    </w:p>
    <w:p>
      <w:pPr>
        <w:pBdr>
          <w:bottom w:val="single" w:color="A7BEAE" w:sz="2" w:space="4"/>
        </w:pBdr>
        <w:spacing w:after="80" w:before="180"/>
      </w:pPr>
      <w:r>
        <w:rPr>
          <w:rFonts w:ascii="Georgia" w:cs="Georgia" w:eastAsia="Georgia" w:hAnsi="Georgia"/>
          <w:b/>
          <w:bCs/>
          <w:color w:val="B85042"/>
          <w:sz w:val="22"/>
          <w:szCs w:val="22"/>
        </w:rPr>
        <w:t xml:space="preserve">ANOMALY DETECTION — Finding What Doesn’t Belong</w:t>
      </w:r>
    </w:p>
    <w:p>
      <w:pPr>
        <w:spacing w:after="60" w:line="240"/>
      </w:pPr>
      <w:r>
        <w:rPr>
          <w:rFonts w:ascii="Calibri" w:cs="Calibri" w:eastAsia="Calibri" w:hAnsi="Calibri"/>
          <w:i/>
          <w:iCs/>
          <w:color w:val="6B5B4F"/>
          <w:sz w:val="19"/>
          <w:szCs w:val="19"/>
        </w:rPr>
        <w:t xml:space="preserve">The Big Idea: Learn what “normal” looks like, then flag anything that breaks the pattern.</w:t>
      </w:r>
    </w:p>
    <w:tbl>
      <w:tblPr>
        <w:tblW w:type="dxa" w:w="98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3600"/>
        <w:gridCol w:w="4440"/>
      </w:tblGrid>
      <w:tr>
        <w:tc>
          <w:tcPr>
            <w:tcW w:type="dxa" w:w="18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Anomaly Type</w:t>
            </w:r>
          </w:p>
        </w:tc>
        <w:tc>
          <w:tcPr>
            <w:tcW w:type="dxa" w:w="36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What It Is</w:t>
            </w:r>
          </w:p>
        </w:tc>
        <w:tc>
          <w:tcPr>
            <w:tcW w:type="dxa" w:w="44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Example</w:t>
            </w:r>
          </w:p>
        </w:tc>
      </w:tr>
      <w:tr>
        <w:tc>
          <w:tcPr>
            <w:tcW w:type="dxa" w:w="18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Point</w:t>
            </w:r>
          </w:p>
        </w:tc>
        <w:tc>
          <w:tcPr>
            <w:tcW w:type="dxa" w:w="36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Single value far outside normal range</w:t>
            </w:r>
          </w:p>
        </w:tc>
        <w:tc>
          <w:tcPr>
            <w:tcW w:type="dxa" w:w="44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$9,500 on a $75-average card</w:t>
            </w:r>
          </w:p>
        </w:tc>
      </w:tr>
      <w:tr>
        <w:tc>
          <w:tcPr>
            <w:tcW w:type="dxa" w:w="18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Contextual</w:t>
            </w:r>
          </w:p>
        </w:tc>
        <w:tc>
          <w:tcPr>
            <w:tcW w:type="dxa" w:w="36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Normal in one context, weird in another</w:t>
            </w:r>
          </w:p>
        </w:tc>
        <w:tc>
          <w:tcPr>
            <w:tcW w:type="dxa" w:w="44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95°F in January in Erie, PA</w:t>
            </w:r>
          </w:p>
        </w:tc>
      </w:tr>
      <w:tr>
        <w:tc>
          <w:tcPr>
            <w:tcW w:type="dxa" w:w="18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Collective</w:t>
            </w:r>
          </w:p>
        </w:tc>
        <w:tc>
          <w:tcPr>
            <w:tcW w:type="dxa" w:w="36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Individually fine, unusual as a group</w:t>
            </w:r>
          </w:p>
        </w:tc>
        <w:tc>
          <w:tcPr>
            <w:tcW w:type="dxa" w:w="44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8 small charges in 4 min from 6 countries</w:t>
            </w:r>
          </w:p>
        </w:tc>
      </w:tr>
    </w:tbl>
    <w:p>
      <w:pPr>
        <w:spacing w:after="40" w:before="100"/>
      </w:pPr>
      <w:r>
        <w:rPr>
          <w:rFonts w:ascii="Calibri" w:cs="Calibri" w:eastAsia="Calibri" w:hAnsi="Calibri"/>
          <w:b/>
          <w:bCs/>
          <w:color w:val="3D3229"/>
          <w:sz w:val="19"/>
          <w:szCs w:val="19"/>
        </w:rPr>
        <w:t xml:space="preserve">Detection Methods (most to least commonly deployed):</w:t>
      </w:r>
    </w:p>
    <w:tbl>
      <w:tblPr>
        <w:tblW w:type="dxa" w:w="98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4200"/>
        <w:gridCol w:w="3640"/>
      </w:tblGrid>
      <w:tr>
        <w:tc>
          <w:tcPr>
            <w:tcW w:type="dxa" w:w="2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Method</w:t>
            </w:r>
          </w:p>
        </w:tc>
        <w:tc>
          <w:tcPr>
            <w:tcW w:type="dxa" w:w="42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How It Works</w:t>
            </w:r>
          </w:p>
        </w:tc>
        <w:tc>
          <w:tcPr>
            <w:tcW w:type="dxa" w:w="36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When to Use</w:t>
            </w:r>
          </w:p>
        </w:tc>
      </w:tr>
      <w:tr>
        <w:tc>
          <w:tcPr>
            <w:tcW w:type="dxa" w:w="2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3D3229"/>
                <w:sz w:val="18"/>
                <w:szCs w:val="18"/>
              </w:rPr>
              <w:t xml:space="preserve">Statistical Rules</w:t>
            </w:r>
          </w:p>
        </w:tc>
        <w:tc>
          <w:tcPr>
            <w:tcW w:type="dxa" w:w="42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Z-score &gt; 2–3? Flag it. Outside IQR fences? Flag it.</w:t>
            </w:r>
          </w:p>
        </w:tc>
        <w:tc>
          <w:tcPr>
            <w:tcW w:type="dxa" w:w="36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3D3229"/>
                <w:sz w:val="18"/>
                <w:szCs w:val="18"/>
              </w:rPr>
              <w:t xml:space="preserve">MOST COMMON in practice. </w:t>
            </w:r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Start here.</w:t>
            </w:r>
          </w:p>
        </w:tc>
      </w:tr>
      <w:tr>
        <w:tc>
          <w:tcPr>
            <w:tcW w:type="dxa" w:w="2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3D3229"/>
                <w:sz w:val="18"/>
                <w:szCs w:val="18"/>
              </w:rPr>
              <w:t xml:space="preserve">Distance-Based</w:t>
            </w:r>
          </w:p>
        </w:tc>
        <w:tc>
          <w:tcPr>
            <w:tcW w:type="dxa" w:w="42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Measure how far each point is from its nearest neighbors or cluster centroid.</w:t>
            </w:r>
          </w:p>
        </w:tc>
        <w:tc>
          <w:tcPr>
            <w:tcW w:type="dxa" w:w="36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After clustering — reuse your cluster model as an anomaly screener.</w:t>
            </w:r>
          </w:p>
        </w:tc>
      </w:tr>
      <w:tr>
        <w:tc>
          <w:tcPr>
            <w:tcW w:type="dxa" w:w="2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3D3229"/>
                <w:sz w:val="18"/>
                <w:szCs w:val="18"/>
              </w:rPr>
              <w:t xml:space="preserve">Model-Based</w:t>
            </w:r>
          </w:p>
        </w:tc>
        <w:tc>
          <w:tcPr>
            <w:tcW w:type="dxa" w:w="42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Isolation Forest, One-Class SVM — algorithm learns “normal” boundary.</w:t>
            </w:r>
          </w:p>
        </w:tc>
        <w:tc>
          <w:tcPr>
            <w:tcW w:type="dxa" w:w="36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Complex patterns where simple rules aren’t enough.</w:t>
            </w:r>
          </w:p>
        </w:tc>
      </w:tr>
    </w:tbl>
    <w:p>
      <w:pPr>
        <w:spacing w:after="40" w:before="100"/>
      </w:pPr>
      <w:r>
        <w:rPr>
          <w:rFonts w:ascii="Calibri" w:cs="Calibri" w:eastAsia="Calibri" w:hAnsi="Calibri"/>
          <w:b/>
          <w:bCs/>
          <w:color w:val="B85042"/>
          <w:sz w:val="19"/>
          <w:szCs w:val="19"/>
        </w:rPr>
        <w:t xml:space="preserve">The Tradeoff You Must Remember: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b/>
          <w:bCs/>
          <w:color w:val="3D3229"/>
          <w:sz w:val="19"/>
          <w:szCs w:val="19"/>
        </w:rPr>
        <w:t xml:space="preserve">False Positive: </w:t>
      </w:r>
      <w:r>
        <w:rPr>
          <w:rFonts w:ascii="Calibri" w:cs="Calibri" w:eastAsia="Calibri" w:hAnsi="Calibri"/>
          <w:color w:val="3D3229"/>
          <w:sz w:val="19"/>
          <w:szCs w:val="19"/>
        </w:rPr>
        <w:t xml:space="preserve">Flagged something normal (annoyed a legitimate customer)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b/>
          <w:bCs/>
          <w:color w:val="3D3229"/>
          <w:sz w:val="19"/>
          <w:szCs w:val="19"/>
        </w:rPr>
        <w:t xml:space="preserve">False Negative: </w:t>
      </w:r>
      <w:r>
        <w:rPr>
          <w:rFonts w:ascii="Calibri" w:cs="Calibri" w:eastAsia="Calibri" w:hAnsi="Calibri"/>
          <w:color w:val="3D3229"/>
          <w:sz w:val="19"/>
          <w:szCs w:val="19"/>
        </w:rPr>
        <w:t xml:space="preserve">Missed a real anomaly (fraud slipped through)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color w:val="3D3229"/>
          <w:sz w:val="19"/>
          <w:szCs w:val="19"/>
        </w:rPr>
        <w:t xml:space="preserve">Lower threshold = catch more fraud BUT more false alarms. Higher threshold = fewer false alarms BUT miss more fraud.</w:t>
      </w:r>
    </w:p>
    <w:p>
      <w:pPr>
        <w:pBdr>
          <w:bottom w:val="single" w:color="A7BEAE" w:sz="2" w:space="4"/>
        </w:pBdr>
        <w:spacing w:after="80" w:before="180"/>
      </w:pPr>
      <w:r>
        <w:rPr>
          <w:rFonts w:ascii="Georgia" w:cs="Georgia" w:eastAsia="Georgia" w:hAnsi="Georgia"/>
          <w:b/>
          <w:bCs/>
          <w:color w:val="B85042"/>
          <w:sz w:val="22"/>
          <w:szCs w:val="22"/>
        </w:rPr>
        <w:t xml:space="preserve">MARKET BASKET ANALYSIS — Finding What Goes Together</w:t>
      </w:r>
    </w:p>
    <w:p>
      <w:pPr>
        <w:spacing w:after="60" w:line="240"/>
      </w:pPr>
      <w:r>
        <w:rPr>
          <w:rFonts w:ascii="Calibri" w:cs="Calibri" w:eastAsia="Calibri" w:hAnsi="Calibri"/>
          <w:i/>
          <w:iCs/>
          <w:color w:val="6B5B4F"/>
          <w:sz w:val="19"/>
          <w:szCs w:val="19"/>
        </w:rPr>
        <w:t xml:space="preserve">The Big Idea: Scan millions of transactions to find items that are purchased together more often than random chance predicts.</w:t>
      </w:r>
    </w:p>
    <w:tbl>
      <w:tblPr>
        <w:tblW w:type="dxa" w:w="98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2400"/>
        <w:gridCol w:w="1800"/>
        <w:gridCol w:w="4140"/>
      </w:tblGrid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Metric</w:t>
            </w:r>
          </w:p>
        </w:tc>
        <w:tc>
          <w:tcPr>
            <w:tcW w:type="dxa" w:w="24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Plain English</w:t>
            </w:r>
          </w:p>
        </w:tc>
        <w:tc>
          <w:tcPr>
            <w:tcW w:type="dxa" w:w="18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Formula</w:t>
            </w:r>
          </w:p>
        </w:tc>
        <w:tc>
          <w:tcPr>
            <w:tcW w:type="dxa" w:w="41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Remember</w:t>
            </w:r>
          </w:p>
        </w:tc>
      </w:tr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3D3229"/>
                <w:sz w:val="18"/>
                <w:szCs w:val="18"/>
              </w:rPr>
              <w:t xml:space="preserve">Support</w:t>
            </w:r>
          </w:p>
        </w:tc>
        <w:tc>
          <w:tcPr>
            <w:tcW w:type="dxa" w:w="24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How popular is this combo?</w:t>
            </w:r>
          </w:p>
        </w:tc>
        <w:tc>
          <w:tcPr>
            <w:tcW w:type="dxa" w:w="18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P(A ∩ B)</w:t>
            </w:r>
          </w:p>
        </w:tc>
        <w:tc>
          <w:tcPr>
            <w:tcW w:type="dxa" w:w="41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Low support = rare combo (may still be interesting if lift is high)</w:t>
            </w:r>
          </w:p>
        </w:tc>
      </w:tr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3D3229"/>
                <w:sz w:val="18"/>
                <w:szCs w:val="18"/>
              </w:rPr>
              <w:t xml:space="preserve">Confidence</w:t>
            </w:r>
          </w:p>
        </w:tc>
        <w:tc>
          <w:tcPr>
            <w:tcW w:type="dxa" w:w="24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If A, how likely B?</w:t>
            </w:r>
          </w:p>
        </w:tc>
        <w:tc>
          <w:tcPr>
            <w:tcW w:type="dxa" w:w="18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P(B | A)</w:t>
            </w:r>
          </w:p>
        </w:tc>
        <w:tc>
          <w:tcPr>
            <w:tcW w:type="dxa" w:w="41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High confidence alone isn’t enough — need lift too</w:t>
            </w:r>
          </w:p>
        </w:tc>
      </w:tr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3D3229"/>
                <w:sz w:val="18"/>
                <w:szCs w:val="18"/>
              </w:rPr>
              <w:t xml:space="preserve">Lift</w:t>
            </w:r>
          </w:p>
        </w:tc>
        <w:tc>
          <w:tcPr>
            <w:tcW w:type="dxa" w:w="24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Better than random chance?</w:t>
            </w:r>
          </w:p>
        </w:tc>
        <w:tc>
          <w:tcPr>
            <w:tcW w:type="dxa" w:w="18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Confidence / P(B)</w:t>
            </w:r>
          </w:p>
        </w:tc>
        <w:tc>
          <w:tcPr>
            <w:tcW w:type="dxa" w:w="41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3D3229"/>
                <w:sz w:val="18"/>
                <w:szCs w:val="18"/>
              </w:rPr>
              <w:t xml:space="preserve">THIS IS THE ONE THAT MATTERS. </w:t>
            </w:r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&gt;1 = real association</w:t>
            </w:r>
          </w:p>
        </w:tc>
      </w:tr>
    </w:tbl>
    <w:p>
      <w:pPr>
        <w:spacing w:after="40" w:before="100"/>
      </w:pPr>
      <w:r>
        <w:rPr>
          <w:rFonts w:ascii="Calibri" w:cs="Calibri" w:eastAsia="Calibri" w:hAnsi="Calibri"/>
          <w:b/>
          <w:bCs/>
          <w:color w:val="B85042"/>
          <w:sz w:val="19"/>
          <w:szCs w:val="19"/>
        </w:rPr>
        <w:t xml:space="preserve">Critical Rules: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b/>
          <w:bCs/>
          <w:color w:val="3D3229"/>
          <w:sz w:val="19"/>
          <w:szCs w:val="19"/>
        </w:rPr>
        <w:t xml:space="preserve">Only analyze SMALL baskets. </w:t>
      </w:r>
      <w:r>
        <w:rPr>
          <w:rFonts w:ascii="Calibri" w:cs="Calibri" w:eastAsia="Calibri" w:hAnsi="Calibri"/>
          <w:color w:val="3D3229"/>
          <w:sz w:val="19"/>
          <w:szCs w:val="19"/>
        </w:rPr>
        <w:t xml:space="preserve">Large baskets (&gt;10–15 items) create thousands of meaningless pairs. Filter them out first.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b/>
          <w:bCs/>
          <w:color w:val="3D3229"/>
          <w:sz w:val="19"/>
          <w:szCs w:val="19"/>
        </w:rPr>
        <w:t xml:space="preserve">Sort by Lift (descending). </w:t>
      </w:r>
      <w:r>
        <w:rPr>
          <w:rFonts w:ascii="Calibri" w:cs="Calibri" w:eastAsia="Calibri" w:hAnsi="Calibri"/>
          <w:color w:val="3D3229"/>
          <w:sz w:val="19"/>
          <w:szCs w:val="19"/>
        </w:rPr>
        <w:t xml:space="preserve">High-lift rules are the most actionable. Lift &gt; 1 = positive association. Lift &lt; 1 = items avoid each other.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b/>
          <w:bCs/>
          <w:color w:val="3D3229"/>
          <w:sz w:val="19"/>
          <w:szCs w:val="19"/>
        </w:rPr>
        <w:t xml:space="preserve">Apriori Principle: </w:t>
      </w:r>
      <w:r>
        <w:rPr>
          <w:rFonts w:ascii="Calibri" w:cs="Calibri" w:eastAsia="Calibri" w:hAnsi="Calibri"/>
          <w:color w:val="3D3229"/>
          <w:sz w:val="19"/>
          <w:szCs w:val="19"/>
        </w:rPr>
        <w:t xml:space="preserve">If an item is infrequent, any set containing it is also infrequent. The algorithm prunes early.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b/>
          <w:bCs/>
          <w:color w:val="3D3229"/>
          <w:sz w:val="19"/>
          <w:szCs w:val="19"/>
        </w:rPr>
        <w:t xml:space="preserve">Always ask “So what?” </w:t>
      </w:r>
      <w:r>
        <w:rPr>
          <w:rFonts w:ascii="Calibri" w:cs="Calibri" w:eastAsia="Calibri" w:hAnsi="Calibri"/>
          <w:color w:val="3D3229"/>
          <w:sz w:val="19"/>
          <w:szCs w:val="19"/>
        </w:rPr>
        <w:t xml:space="preserve">A rule with lift = 3.5 is meaningless if the business can’t ACT on it.</w:t>
      </w:r>
    </w:p>
    <w:p>
      <w:pPr>
        <w:pBdr>
          <w:bottom w:val="single" w:color="A7BEAE" w:sz="2" w:space="4"/>
        </w:pBdr>
        <w:spacing w:after="80" w:before="180"/>
      </w:pPr>
      <w:r>
        <w:rPr>
          <w:rFonts w:ascii="Georgia" w:cs="Georgia" w:eastAsia="Georgia" w:hAnsi="Georgia"/>
          <w:b/>
          <w:bCs/>
          <w:color w:val="B85042"/>
          <w:sz w:val="22"/>
          <w:szCs w:val="22"/>
        </w:rPr>
        <w:t xml:space="preserve">THE PIPELINE — How These Work Together</w:t>
      </w:r>
    </w:p>
    <w:p>
      <w:pPr>
        <w:spacing w:after="80" w:before="80"/>
        <w:jc w:val="center"/>
      </w:pPr>
      <w:r>
        <w:rPr>
          <w:rFonts w:ascii="DM Mono, Consolas" w:cs="DM Mono, Consolas" w:eastAsia="DM Mono, Consolas" w:hAnsi="DM Mono, Consolas"/>
          <w:b/>
          <w:bCs/>
          <w:color w:val="B85042"/>
          <w:sz w:val="20"/>
          <w:szCs w:val="20"/>
        </w:rPr>
        <w:t xml:space="preserve">CLUSTER  →  DETECT ANOMALIES  →  MINE ASSOCIATIONS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color w:val="3D3229"/>
          <w:sz w:val="19"/>
          <w:szCs w:val="19"/>
        </w:rPr>
        <w:t xml:space="preserve">Cluster your data into segments (k-Means, etc.)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color w:val="3D3229"/>
          <w:sz w:val="19"/>
          <w:szCs w:val="19"/>
        </w:rPr>
        <w:t xml:space="preserve">Flag anomalies within each cluster (points farthest from centroids)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color w:val="3D3229"/>
          <w:sz w:val="19"/>
          <w:szCs w:val="19"/>
        </w:rPr>
        <w:t xml:space="preserve">Run MBA within each cluster for segment-specific association rules</w:t>
      </w:r>
    </w:p>
    <w:p>
      <w:pPr>
        <w:pStyle w:val="ListParagraph"/>
        <w:numPr>
          <w:ilvl w:val="0"/>
          <w:numId w:val="2"/>
        </w:numPr>
        <w:spacing w:after="40" w:line="240"/>
      </w:pPr>
      <w:r>
        <w:rPr>
          <w:rFonts w:ascii="Calibri" w:cs="Calibri" w:eastAsia="Calibri" w:hAnsi="Calibri"/>
          <w:b/>
          <w:bCs/>
          <w:color w:val="3D3229"/>
          <w:sz w:val="19"/>
          <w:szCs w:val="19"/>
        </w:rPr>
        <w:t xml:space="preserve">Key insight: </w:t>
      </w:r>
      <w:r>
        <w:rPr>
          <w:rFonts w:ascii="Calibri" w:cs="Calibri" w:eastAsia="Calibri" w:hAnsi="Calibri"/>
          <w:color w:val="3D3229"/>
          <w:sz w:val="19"/>
          <w:szCs w:val="19"/>
        </w:rPr>
        <w:t xml:space="preserve">A recommendation that works for College Students (Cluster 1) may be completely different from Retirees (Cluster 3)</w:t>
      </w:r>
    </w:p>
    <w:p>
      <w:pPr>
        <w:pBdr>
          <w:bottom w:val="single" w:color="A7BEAE" w:sz="2" w:space="4"/>
        </w:pBdr>
        <w:spacing w:after="80" w:before="180"/>
      </w:pPr>
      <w:r>
        <w:rPr>
          <w:rFonts w:ascii="Georgia" w:cs="Georgia" w:eastAsia="Georgia" w:hAnsi="Georgia"/>
          <w:b/>
          <w:bCs/>
          <w:color w:val="B85042"/>
          <w:sz w:val="22"/>
          <w:szCs w:val="22"/>
        </w:rPr>
        <w:t xml:space="preserve">PAIR FRAMEWORK — Connect Every Model to a Business Decision</w:t>
      </w:r>
    </w:p>
    <w:tbl>
      <w:tblPr>
        <w:tblW w:type="dxa" w:w="98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4000"/>
        <w:gridCol w:w="4340"/>
      </w:tblGrid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Step</w:t>
            </w:r>
          </w:p>
        </w:tc>
        <w:tc>
          <w:tcPr>
            <w:tcW w:type="dxa" w:w="4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Anomaly Detection Example</w:t>
            </w:r>
          </w:p>
        </w:tc>
        <w:tc>
          <w:tcPr>
            <w:tcW w:type="dxa" w:w="43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B85042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8"/>
                <w:szCs w:val="18"/>
              </w:rPr>
              <w:t xml:space="preserve">MBA Example</w:t>
            </w:r>
          </w:p>
        </w:tc>
      </w:tr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B85042"/>
                <w:sz w:val="18"/>
                <w:szCs w:val="18"/>
              </w:rPr>
              <w:t xml:space="preserve">P</w:t>
            </w:r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rediction</w:t>
            </w:r>
          </w:p>
        </w:tc>
        <w:tc>
          <w:tcPr>
            <w:tcW w:type="dxa" w:w="4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Transaction has 94% anomaly score</w:t>
            </w:r>
          </w:p>
        </w:tc>
        <w:tc>
          <w:tcPr>
            <w:tcW w:type="dxa" w:w="43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Shoe buyers also buy socks (lift = 2.8)</w:t>
            </w:r>
          </w:p>
        </w:tc>
      </w:tr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B85042"/>
                <w:sz w:val="18"/>
                <w:szCs w:val="18"/>
              </w:rPr>
              <w:t xml:space="preserve">A</w:t>
            </w:r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ction</w:t>
            </w:r>
          </w:p>
        </w:tc>
        <w:tc>
          <w:tcPr>
            <w:tcW w:type="dxa" w:w="4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Block transaction, send verification text</w:t>
            </w:r>
          </w:p>
        </w:tc>
        <w:tc>
          <w:tcPr>
            <w:tcW w:type="dxa" w:w="43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Create a Runner’s Bundle discount</w:t>
            </w:r>
          </w:p>
        </w:tc>
      </w:tr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B85042"/>
                <w:sz w:val="18"/>
                <w:szCs w:val="18"/>
              </w:rPr>
              <w:t xml:space="preserve">I</w:t>
            </w:r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mpact</w:t>
            </w:r>
          </w:p>
        </w:tc>
        <w:tc>
          <w:tcPr>
            <w:tcW w:type="dxa" w:w="4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Prevented $3,200 fraud loss</w:t>
            </w:r>
          </w:p>
        </w:tc>
        <w:tc>
          <w:tcPr>
            <w:tcW w:type="dxa" w:w="43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E7E8D1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Basket size increases $12.50</w:t>
            </w:r>
          </w:p>
        </w:tc>
      </w:tr>
      <w:tr>
        <w:tc>
          <w:tcPr>
            <w:tcW w:type="dxa" w:w="15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B85042"/>
                <w:sz w:val="18"/>
                <w:szCs w:val="18"/>
              </w:rPr>
              <w:t xml:space="preserve">R</w:t>
            </w:r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isk</w:t>
            </w:r>
          </w:p>
        </w:tc>
        <w:tc>
          <w:tcPr>
            <w:tcW w:type="dxa" w:w="400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False positive: blocking a vacation purchase</w:t>
            </w:r>
          </w:p>
        </w:tc>
        <w:tc>
          <w:tcPr>
            <w:tcW w:type="dxa" w:w="4340"/>
            <w:tcBorders>
              <w:top w:val="single" w:color="D4C5B9" w:sz="1"/>
              <w:left w:val="single" w:color="D4C5B9" w:sz="1"/>
              <w:bottom w:val="single" w:color="D4C5B9" w:sz="1"/>
              <w:right w:val="single" w:color="D4C5B9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rFonts w:ascii="Calibri" w:cs="Calibri" w:eastAsia="Calibri" w:hAnsi="Calibri"/>
                <w:color w:val="3D3229"/>
                <w:sz w:val="18"/>
                <w:szCs w:val="18"/>
              </w:rPr>
              <w:t xml:space="preserve">Cannibalization: discount on items bought at full price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Calibri" w:cs="Calibri" w:eastAsia="Calibri" w:hAnsi="Calibri"/>
        <w:color w:val="6B5B4F"/>
        <w:sz w:val="15"/>
        <w:szCs w:val="15"/>
      </w:rPr>
      <w:t xml:space="preserve">Dr. Yaa Amankwah-Poku  •  Dahlkemper School of Business  •  Gannon University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A7BEAE" w:sz="2" w:space="2"/>
      </w:pBdr>
    </w:pPr>
    <w:r>
      <w:rPr>
        <w:rFonts w:ascii="Georgia" w:cs="Georgia" w:eastAsia="Georgia" w:hAnsi="Georgia"/>
        <w:b/>
        <w:bCs/>
        <w:color w:val="B85042"/>
        <w:sz w:val="16"/>
        <w:szCs w:val="16"/>
      </w:rPr>
      <w:t xml:space="preserve">CHEAT SHEET</w:t>
    </w:r>
    <w:r>
      <w:rPr>
        <w:rFonts w:ascii="Calibri" w:cs="Calibri" w:eastAsia="Calibri" w:hAnsi="Calibri"/>
        <w:color w:val="6B5B4F"/>
        <w:sz w:val="16"/>
        <w:szCs w:val="16"/>
      </w:rPr>
      <w:t xml:space="preserve">  •  Anomaly Detection &amp; Market Basket Analysis  •  </w:t>
    </w:r>
    <w:r>
      <w:rPr>
        <w:rFonts w:ascii="Calibri" w:cs="Calibri" w:eastAsia="Calibri" w:hAnsi="Calibri"/>
        <w:color w:val="6B5B4F"/>
        <w:sz w:val="16"/>
        <w:szCs w:val="16"/>
      </w:rPr>
      <w:t xml:space="preserve">GMBA 621 / FINC 332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2026-03-19T20:26:38.886Z</dcterms:created>
  <dcterms:modified xsi:type="dcterms:W3CDTF">2026-03-19T20:26:38.887Z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