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jc w:val="center"/>
      </w:pPr>
      <w:r>
        <w:rPr>
          <w:rFonts w:ascii="Arial" w:cs="Arial" w:eastAsia="Arial" w:hAnsi="Arial"/>
          <w:color w:val="666666"/>
          <w:sz w:val="28"/>
          <w:szCs w:val="28"/>
        </w:rPr>
        <w:t xml:space="preserve">GMBA 612: Database Design &amp; SQL</w:t>
      </w:r>
    </w:p>
    <w:p>
      <w:pPr>
        <w:spacing w:before="400"/>
      </w:pPr>
    </w:p>
    <w:p>
      <w:pPr>
        <w:jc w:val="center"/>
      </w:pPr>
      <w:r>
        <w:rPr>
          <w:rFonts w:ascii="Arial" w:cs="Arial" w:eastAsia="Arial" w:hAnsi="Arial"/>
          <w:b/>
          <w:bCs/>
          <w:color w:val="1E3A5F"/>
          <w:sz w:val="48"/>
          <w:szCs w:val="48"/>
        </w:rPr>
        <w:t xml:space="preserve">Module: Data Marts</w:t>
      </w:r>
    </w:p>
    <w:p>
      <w:pPr>
        <w:spacing w:before="200"/>
      </w:pPr>
    </w:p>
    <w:p>
      <w:pPr>
        <w:jc w:val="center"/>
      </w:pPr>
      <w:r>
        <w:rPr>
          <w:rFonts w:ascii="Arial" w:cs="Arial" w:eastAsia="Arial" w:hAnsi="Arial"/>
          <w:color w:val="444444"/>
          <w:sz w:val="26"/>
          <w:szCs w:val="26"/>
        </w:rPr>
        <w:t xml:space="preserve">Serving Different Departments from One Warehouse</w:t>
      </w:r>
    </w:p>
    <w:p>
      <w:pPr>
        <w:spacing w:before="800"/>
      </w:pPr>
    </w:p>
    <w:p>
      <w:pPr>
        <w:jc w:val="center"/>
      </w:pPr>
      <w:r>
        <w:rPr>
          <w:rFonts w:ascii="Arial" w:cs="Arial" w:eastAsia="Arial" w:hAnsi="Arial"/>
          <w:i/>
          <w:iCs/>
          <w:color w:val="2E7D32"/>
          <w:sz w:val="24"/>
          <w:szCs w:val="24"/>
        </w:rPr>
        <w:t xml:space="preserve">Case Study: First National Bank's Departmental Views</w:t>
      </w:r>
    </w:p>
    <w:p>
      <w:pPr>
        <w:spacing w:before="1600"/>
      </w:pPr>
    </w:p>
    <w:p>
      <w:pPr>
        <w:jc w:val="center"/>
      </w:pPr>
      <w:r>
        <w:rPr>
          <w:rFonts w:ascii="Arial" w:cs="Arial" w:eastAsia="Arial" w:hAnsi="Arial"/>
          <w:sz w:val="22"/>
          <w:szCs w:val="22"/>
        </w:rPr>
        <w:t xml:space="preserve">Gannon University | MBA Business Analytics Program</w:t>
      </w:r>
    </w:p>
    <w:p>
      <w:r>
        <w:br w:type="page"/>
      </w:r>
    </w:p>
    <w:p>
      <w:pPr>
        <w:pStyle w:val="Heading1"/>
      </w:pPr>
      <w:r>
        <w:t xml:space="preserve">Module Overview</w:t>
      </w:r>
    </w:p>
    <w:p>
      <w:pPr>
        <w:spacing w:after="200"/>
      </w:pPr>
      <w:r>
        <w:t xml:space="preserve">The CFO needs profitability reports. The CMO needs campaign analytics. The Chief Risk Officer needs fraud patterns. They all use the same underlying banking data—but they need it sliced, aggregated, and presented differently. That's where </w:t>
      </w:r>
      <w:r>
        <w:rPr>
          <w:b/>
          <w:bCs/>
        </w:rPr>
        <w:t xml:space="preserve">data marts</w:t>
      </w:r>
      <w:r>
        <w:t xml:space="preserve"> come in.</w:t>
      </w:r>
    </w:p>
    <w:p>
      <w:pPr>
        <w:spacing w:after="200"/>
      </w:pPr>
      <w:r>
        <w:t xml:space="preserve">A data mart is a focused subset of the data warehouse, tailored to a specific department or business function. Think of the warehouse as a wholesale distributor and data marts as specialized retail stores—same products, different packaging for different customers.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C" w:val="clear"/>
            <w:tcMar>
              <w:top w:type="dxa" w:w="80"/>
              <w:left w:type="dxa" w:w="120"/>
              <w:bottom w:type="dxa" w:w="80"/>
              <w:right w:type="dxa" w:w="120"/>
            </w:tcMar>
          </w:tcPr>
          <w:p>
            <w:pPr>
              <w:spacing w:after="120"/>
            </w:pPr>
            <w:r>
              <w:rPr>
                <w:b/>
                <w:bCs/>
                <w:color w:val="1E3A5F"/>
                <w:sz w:val="24"/>
                <w:szCs w:val="24"/>
              </w:rPr>
              <w:t xml:space="preserve">Learning Objectives</w:t>
            </w:r>
          </w:p>
          <w:p>
            <w:pPr>
              <w:spacing w:after="60"/>
            </w:pPr>
            <w:r>
              <w:t xml:space="preserve">By the end of this module, you will be able to:</w:t>
            </w:r>
          </w:p>
          <w:p>
            <w:pPr>
              <w:pStyle w:val="ListParagraph"/>
              <w:numPr>
                <w:ilvl w:val="0"/>
                <w:numId w:val="2"/>
              </w:numPr>
            </w:pPr>
            <w:r>
              <w:t xml:space="preserve">Explain the purpose and benefits of data marts</w:t>
            </w:r>
          </w:p>
          <w:p>
            <w:pPr>
              <w:pStyle w:val="ListParagraph"/>
              <w:numPr>
                <w:ilvl w:val="0"/>
                <w:numId w:val="2"/>
              </w:numPr>
            </w:pPr>
            <w:r>
              <w:t xml:space="preserve">Compare dependent vs. independent data mart architectures</w:t>
            </w:r>
          </w:p>
          <w:p>
            <w:pPr>
              <w:pStyle w:val="ListParagraph"/>
              <w:numPr>
                <w:ilvl w:val="0"/>
                <w:numId w:val="2"/>
              </w:numPr>
            </w:pPr>
            <w:r>
              <w:t xml:space="preserve">Design data marts for Finance, Marketing, Risk, and Operations</w:t>
            </w:r>
          </w:p>
          <w:p>
            <w:pPr>
              <w:pStyle w:val="ListParagraph"/>
              <w:numPr>
                <w:ilvl w:val="0"/>
                <w:numId w:val="2"/>
              </w:numPr>
            </w:pPr>
            <w:r>
              <w:t xml:space="preserve">Create aggregate tables and materialized views for performance</w:t>
            </w:r>
          </w:p>
          <w:p>
            <w:pPr>
              <w:pStyle w:val="ListParagraph"/>
              <w:numPr>
                <w:ilvl w:val="0"/>
                <w:numId w:val="2"/>
              </w:numPr>
            </w:pPr>
            <w:r>
              <w:t xml:space="preserve">Implement row-level security for sensitive data</w:t>
            </w:r>
          </w:p>
        </w:tc>
      </w:tr>
    </w:tbl>
    <w:p>
      <w:pPr>
        <w:spacing w:before="4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pPr>
              <w:spacing w:after="120"/>
            </w:pPr>
            <w:r>
              <w:rPr>
                <w:b/>
                <w:bCs/>
                <w:color w:val="2E7D32"/>
                <w:sz w:val="24"/>
                <w:szCs w:val="24"/>
              </w:rPr>
              <w:t xml:space="preserve">The Retail Store Analogy</w:t>
            </w:r>
          </w:p>
          <w:p>
            <w:r>
              <w:t xml:space="preserve">Imagine a warehouse that stocks everything—groceries, electronics, clothing. A grocery mart stocks only food, organized for quick shopping. An electronics mart has TVs and computers. Each serves a specific need without the overwhelm of the full warehouse. Data marts work the same way.</w:t>
            </w:r>
          </w:p>
        </w:tc>
      </w:tr>
    </w:tbl>
    <w:p>
      <w:r>
        <w:br w:type="page"/>
      </w:r>
    </w:p>
    <w:p>
      <w:pPr>
        <w:pStyle w:val="Heading1"/>
      </w:pPr>
      <w:r>
        <w:t xml:space="preserve">Part 1: Why Data Marts Matter</w:t>
      </w:r>
    </w:p>
    <w:p>
      <w:pPr>
        <w:pStyle w:val="Heading2"/>
      </w:pPr>
      <w:r>
        <w:t xml:space="preserve">The Problem with One-Size-Fits-All</w:t>
      </w:r>
    </w:p>
    <w:p>
      <w:pPr>
        <w:spacing w:after="200"/>
      </w:pPr>
      <w:r>
        <w:t xml:space="preserve">First National Bank's data warehouse contains everything. But different departments have different needs: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950"/>
        <w:gridCol w:w="3705"/>
        <w:gridCol w:w="3705"/>
      </w:tblGrid>
      <w:tr>
        <w:tc>
          <w:tcPr>
            <w:tcW w:type="dxa" w:w="195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Department</w:t>
            </w:r>
          </w:p>
        </w:tc>
        <w:tc>
          <w:tcPr>
            <w:tcW w:type="dxa" w:w="3705"/>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Primary Questions</w:t>
            </w:r>
          </w:p>
        </w:tc>
        <w:tc>
          <w:tcPr>
            <w:tcW w:type="dxa" w:w="3705"/>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Doesn't Need to See</w:t>
            </w:r>
          </w:p>
        </w:tc>
      </w:tr>
      <w:tr>
        <w:tc>
          <w:tcPr>
            <w:tcW w:type="dxa" w:w="1950"/>
            <w:tcBorders>
              <w:top w:val="single" w:color="CCCCCC" w:sz="1"/>
              <w:left w:val="single" w:color="CCCCCC" w:sz="1"/>
              <w:bottom w:val="single" w:color="CCCCCC" w:sz="1"/>
              <w:right w:val="single" w:color="CCCCCC" w:sz="1"/>
            </w:tcBorders>
            <w:shd w:fill="E3F2FD" w:val="clear"/>
            <w:tcMar>
              <w:top w:type="dxa" w:w="80"/>
              <w:left w:type="dxa" w:w="120"/>
              <w:bottom w:type="dxa" w:w="80"/>
              <w:right w:type="dxa" w:w="120"/>
            </w:tcMar>
          </w:tcPr>
          <w:p>
            <w:r>
              <w:rPr>
                <w:b/>
                <w:bCs/>
                <w:color w:val="1565C0"/>
              </w:rPr>
              <w:t xml:space="preserve">Finance</w:t>
            </w:r>
          </w:p>
        </w:tc>
        <w:tc>
          <w:tcPr>
            <w:tcW w:type="dxa" w:w="37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Revenue by product? Cost per transaction? Profitability by segment?</w:t>
            </w:r>
          </w:p>
        </w:tc>
        <w:tc>
          <w:tcPr>
            <w:tcW w:type="dxa" w:w="37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Marketing campaign details, fraud investigation notes</w:t>
            </w:r>
          </w:p>
        </w:tc>
      </w:tr>
      <w:tr>
        <w:tc>
          <w:tcPr>
            <w:tcW w:type="dxa" w:w="1950"/>
            <w:tcBorders>
              <w:top w:val="single" w:color="CCCCCC" w:sz="1"/>
              <w:left w:val="single" w:color="CCCCCC" w:sz="1"/>
              <w:bottom w:val="single" w:color="CCCCCC" w:sz="1"/>
              <w:right w:val="single" w:color="CCCCCC" w:sz="1"/>
            </w:tcBorders>
            <w:shd w:fill="F3E5F5" w:val="clear"/>
            <w:tcMar>
              <w:top w:type="dxa" w:w="80"/>
              <w:left w:type="dxa" w:w="120"/>
              <w:bottom w:type="dxa" w:w="80"/>
              <w:right w:type="dxa" w:w="120"/>
            </w:tcMar>
          </w:tcPr>
          <w:p>
            <w:r>
              <w:rPr>
                <w:b/>
                <w:bCs/>
                <w:color w:val="7B1FA2"/>
              </w:rPr>
              <w:t xml:space="preserve">Marketing</w:t>
            </w:r>
          </w:p>
        </w:tc>
        <w:tc>
          <w:tcPr>
            <w:tcW w:type="dxa" w:w="3705"/>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Campaign ROI? Customer acquisition cost? Segment behavior?</w:t>
            </w:r>
          </w:p>
        </w:tc>
        <w:tc>
          <w:tcPr>
            <w:tcW w:type="dxa" w:w="3705"/>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Detailed transaction amounts, risk scores</w:t>
            </w:r>
          </w:p>
        </w:tc>
      </w:tr>
      <w:tr>
        <w:tc>
          <w:tcPr>
            <w:tcW w:type="dxa" w:w="195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b/>
                <w:bCs/>
                <w:color w:val="C62828"/>
              </w:rPr>
              <w:t xml:space="preserve">Risk</w:t>
            </w:r>
          </w:p>
        </w:tc>
        <w:tc>
          <w:tcPr>
            <w:tcW w:type="dxa" w:w="37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Fraud patterns? Default rates? Concentration risk?</w:t>
            </w:r>
          </w:p>
        </w:tc>
        <w:tc>
          <w:tcPr>
            <w:tcW w:type="dxa" w:w="37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Marketing campaigns, call center satisfaction</w:t>
            </w:r>
          </w:p>
        </w:tc>
      </w:tr>
      <w:tr>
        <w:tc>
          <w:tcPr>
            <w:tcW w:type="dxa" w:w="195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b/>
                <w:bCs/>
                <w:color w:val="2E7D32"/>
              </w:rPr>
              <w:t xml:space="preserve">Operations</w:t>
            </w:r>
          </w:p>
        </w:tc>
        <w:tc>
          <w:tcPr>
            <w:tcW w:type="dxa" w:w="3705"/>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Transaction volumes? Branch performance? Staffing needs?</w:t>
            </w:r>
          </w:p>
        </w:tc>
        <w:tc>
          <w:tcPr>
            <w:tcW w:type="dxa" w:w="3705"/>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Customer PII, financial projections</w:t>
            </w:r>
          </w:p>
        </w:tc>
      </w:tr>
    </w:tbl>
    <w:p>
      <w:pPr>
        <w:spacing w:before="300"/>
      </w:pPr>
    </w:p>
    <w:p>
      <w:pPr>
        <w:pStyle w:val="Heading2"/>
      </w:pPr>
      <w:r>
        <w:t xml:space="preserve">Benefits of Data Marts</w:t>
      </w:r>
    </w:p>
    <w:p>
      <w:pPr>
        <w:pStyle w:val="ListParagraph"/>
        <w:numPr>
          <w:ilvl w:val="0"/>
          <w:numId w:val="3"/>
        </w:numPr>
      </w:pPr>
      <w:r>
        <w:rPr>
          <w:b/>
          <w:bCs/>
        </w:rPr>
        <w:t xml:space="preserve">Faster queries: </w:t>
      </w:r>
      <w:r>
        <w:t xml:space="preserve">Pre-aggregated, smaller data sets</w:t>
      </w:r>
    </w:p>
    <w:p>
      <w:pPr>
        <w:pStyle w:val="ListParagraph"/>
        <w:numPr>
          <w:ilvl w:val="0"/>
          <w:numId w:val="3"/>
        </w:numPr>
      </w:pPr>
      <w:r>
        <w:rPr>
          <w:b/>
          <w:bCs/>
        </w:rPr>
        <w:t xml:space="preserve">Simpler for users: </w:t>
      </w:r>
      <w:r>
        <w:t xml:space="preserve">Only see relevant tables and metrics</w:t>
      </w:r>
    </w:p>
    <w:p>
      <w:pPr>
        <w:pStyle w:val="ListParagraph"/>
        <w:numPr>
          <w:ilvl w:val="0"/>
          <w:numId w:val="3"/>
        </w:numPr>
      </w:pPr>
      <w:r>
        <w:rPr>
          <w:b/>
          <w:bCs/>
        </w:rPr>
        <w:t xml:space="preserve">Better security: </w:t>
      </w:r>
      <w:r>
        <w:t xml:space="preserve">Control who sees what data</w:t>
      </w:r>
    </w:p>
    <w:p>
      <w:pPr>
        <w:pStyle w:val="ListParagraph"/>
        <w:numPr>
          <w:ilvl w:val="0"/>
          <w:numId w:val="3"/>
        </w:numPr>
      </w:pPr>
      <w:r>
        <w:rPr>
          <w:b/>
          <w:bCs/>
        </w:rPr>
        <w:t xml:space="preserve">Department ownership: </w:t>
      </w:r>
      <w:r>
        <w:t xml:space="preserve">Finance owns Finance Mart definitions</w:t>
      </w:r>
    </w:p>
    <w:p>
      <w:pPr>
        <w:spacing w:before="300"/>
      </w:pPr>
    </w:p>
    <w:p>
      <w:pPr>
        <w:pStyle w:val="Heading2"/>
      </w:pPr>
      <w:r>
        <w:t xml:space="preserve">Dependent vs. Independent Data Marts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Dependent (Recommended)</w:t>
            </w:r>
          </w:p>
        </w:tc>
        <w:tc>
          <w:tcPr>
            <w:tcW w:type="dxa" w:w="468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Independent (Avoid)</w:t>
            </w:r>
          </w:p>
        </w:tc>
      </w:tr>
      <w:tr>
        <w:tc>
          <w:tcPr>
            <w:tcW w:type="dxa" w:w="4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t xml:space="preserve">Fed FROM the central warehouse</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Fed directly from source systems</w:t>
            </w:r>
          </w:p>
        </w:tc>
      </w:tr>
      <w:tr>
        <w:tc>
          <w:tcPr>
            <w:tcW w:type="dxa" w:w="4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t xml:space="preserve">Single version of truth</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Potential for conflicting numbers</w:t>
            </w:r>
          </w:p>
        </w:tc>
      </w:tr>
      <w:tr>
        <w:tc>
          <w:tcPr>
            <w:tcW w:type="dxa" w:w="4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t xml:space="preserve">Consistent business rules</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Each mart defines its own rules</w:t>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pPr>
              <w:spacing w:after="120"/>
            </w:pPr>
            <w:r>
              <w:rPr>
                <w:b/>
                <w:bCs/>
                <w:color w:val="F57C00"/>
                <w:sz w:val="24"/>
                <w:szCs w:val="24"/>
              </w:rPr>
              <w:t xml:space="preserve">The Independent Mart Trap</w:t>
            </w:r>
          </w:p>
          <w:p>
            <w:r>
              <w:t xml:space="preserve">In the early days, departments built their own independent marts. Finance said revenue was $10M, Marketing said $12M, and nobody knew which was right. Dependent marts solve this—they're just views on top of the warehouse's single truth.</w:t>
            </w:r>
          </w:p>
        </w:tc>
      </w:tr>
    </w:tbl>
    <w:p>
      <w:r>
        <w:br w:type="page"/>
      </w:r>
    </w:p>
    <w:p>
      <w:pPr>
        <w:pStyle w:val="Heading1"/>
      </w:pPr>
      <w:r>
        <w:t xml:space="preserve">Part 2: The Finance Mart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3F2FD" w:val="clear"/>
            <w:tcMar>
              <w:top w:type="dxa" w:w="80"/>
              <w:left w:type="dxa" w:w="120"/>
              <w:bottom w:type="dxa" w:w="80"/>
              <w:right w:type="dxa" w:w="120"/>
            </w:tcMar>
          </w:tcPr>
          <w:p>
            <w:r>
              <w:rPr>
                <w:b/>
                <w:bCs/>
                <w:color w:val="1565C0"/>
                <w:sz w:val="28"/>
                <w:szCs w:val="28"/>
              </w:rPr>
              <w:t xml:space="preserve">FINANCE MART</w:t>
            </w:r>
            <w:r>
              <w:rPr>
                <w:color w:val="666666"/>
                <w:sz w:val="20"/>
                <w:szCs w:val="20"/>
              </w:rPr>
              <w:t xml:space="preserve">  |  Users: CFO, Controllers, FP&amp;A, Auditors</w:t>
            </w:r>
          </w:p>
        </w:tc>
      </w:tr>
    </w:tbl>
    <w:p>
      <w:pPr>
        <w:spacing w:before="200"/>
      </w:pPr>
    </w:p>
    <w:p>
      <w:pPr>
        <w:pStyle w:val="Heading2"/>
      </w:pPr>
      <w:r>
        <w:t xml:space="preserve">Key Questions Finance Needs to Answer</w:t>
      </w:r>
    </w:p>
    <w:p>
      <w:pPr>
        <w:pStyle w:val="ListParagraph"/>
        <w:numPr>
          <w:ilvl w:val="0"/>
          <w:numId w:val="3"/>
        </w:numPr>
      </w:pPr>
      <w:r>
        <w:t xml:space="preserve">What's our net interest income by product line?</w:t>
      </w:r>
    </w:p>
    <w:p>
      <w:pPr>
        <w:pStyle w:val="ListParagraph"/>
        <w:numPr>
          <w:ilvl w:val="0"/>
          <w:numId w:val="3"/>
        </w:numPr>
      </w:pPr>
      <w:r>
        <w:t xml:space="preserve">Which customer segments are most profitable?</w:t>
      </w:r>
    </w:p>
    <w:p>
      <w:pPr>
        <w:pStyle w:val="ListParagraph"/>
        <w:numPr>
          <w:ilvl w:val="0"/>
          <w:numId w:val="3"/>
        </w:numPr>
      </w:pPr>
      <w:r>
        <w:t xml:space="preserve">How do fee revenues compare quarter over quarter?</w:t>
      </w:r>
    </w:p>
    <w:p>
      <w:pPr>
        <w:spacing w:before="300"/>
      </w:pPr>
    </w:p>
    <w:p>
      <w:pPr>
        <w:pStyle w:val="Heading2"/>
      </w:pPr>
      <w:r>
        <w:t xml:space="preserve">Finance Mart: Fact_Monthly_Profitability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2340"/>
        <w:gridCol w:w="3900"/>
      </w:tblGrid>
      <w:tr>
        <w:tc>
          <w:tcPr>
            <w:tcW w:type="dxa" w:w="312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Column</w:t>
            </w:r>
          </w:p>
        </w:tc>
        <w:tc>
          <w:tcPr>
            <w:tcW w:type="dxa" w:w="23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Type</w:t>
            </w:r>
          </w:p>
        </w:tc>
        <w:tc>
          <w:tcPr>
            <w:tcW w:type="dxa" w:w="390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Description</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Month_Key (FK)</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Foreign Key</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Links to Dim_Month</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Account_Key (FK)</w:t>
            </w:r>
          </w:p>
        </w:tc>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Foreign Key</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Links to Dim_Account</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1565C0"/>
              </w:rPr>
              <w:t xml:space="preserve">Avg_Daily_Balance</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Average balance for the month</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1565C0"/>
              </w:rPr>
              <w:t xml:space="preserve">Interest_Income</w:t>
            </w:r>
          </w:p>
        </w:tc>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Interest earned from account</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1565C0"/>
              </w:rPr>
              <w:t xml:space="preserve">Fee_Revenue</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Fees charged (overdraft, ATM, etc.)</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1565C0"/>
              </w:rPr>
              <w:t xml:space="preserve">Net_Margin</w:t>
            </w:r>
          </w:p>
        </w:tc>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Income - Expense + Fees - Cost</w:t>
            </w:r>
          </w:p>
        </w:tc>
      </w:tr>
    </w:tbl>
    <w:p>
      <w:pPr>
        <w:spacing w:before="300"/>
      </w:pPr>
    </w:p>
    <w:p>
      <w:pPr>
        <w:pStyle w:val="Heading3"/>
      </w:pPr>
      <w:r>
        <w:t xml:space="preserve">Sample Finance Query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4CAF50"/>
                <w:sz w:val="19"/>
                <w:szCs w:val="19"/>
              </w:rPr>
              <w:t xml:space="preserve">-- Profitability by product line for Q4 2024</w:t>
            </w:r>
          </w:p>
          <w:p>
            <w:r>
              <w:rPr>
                <w:rFonts w:ascii="Courier New" w:cs="Courier New" w:eastAsia="Courier New" w:hAnsi="Courier New"/>
                <w:color w:val="FFFFFF"/>
                <w:sz w:val="19"/>
                <w:szCs w:val="19"/>
              </w:rPr>
              <w:t xml:space="preserve">SELECT p.Product_Category, p.Product_Name,</w:t>
            </w:r>
          </w:p>
          <w:p>
            <w:r>
              <w:rPr>
                <w:rFonts w:ascii="Courier New" w:cs="Courier New" w:eastAsia="Courier New" w:hAnsi="Courier New"/>
                <w:color w:val="FFFFFF"/>
                <w:sz w:val="19"/>
                <w:szCs w:val="19"/>
              </w:rPr>
              <w:t xml:space="preserve">       SUM(f.Interest_Income) AS Total_Interest,</w:t>
            </w:r>
          </w:p>
          <w:p>
            <w:r>
              <w:rPr>
                <w:rFonts w:ascii="Courier New" w:cs="Courier New" w:eastAsia="Courier New" w:hAnsi="Courier New"/>
                <w:color w:val="FFFFFF"/>
                <w:sz w:val="19"/>
                <w:szCs w:val="19"/>
              </w:rPr>
              <w:t xml:space="preserve">       SUM(f.Fee_Revenue) AS Total_Fees,</w:t>
            </w:r>
          </w:p>
          <w:p>
            <w:r>
              <w:rPr>
                <w:rFonts w:ascii="Courier New" w:cs="Courier New" w:eastAsia="Courier New" w:hAnsi="Courier New"/>
                <w:color w:val="FFFFFF"/>
                <w:sz w:val="19"/>
                <w:szCs w:val="19"/>
              </w:rPr>
              <w:t xml:space="preserve">       SUM(f.Net_Margin) AS Total_Margin</w:t>
            </w:r>
          </w:p>
          <w:p>
            <w:r>
              <w:rPr>
                <w:rFonts w:ascii="Courier New" w:cs="Courier New" w:eastAsia="Courier New" w:hAnsi="Courier New"/>
                <w:color w:val="FFFFFF"/>
                <w:sz w:val="19"/>
                <w:szCs w:val="19"/>
              </w:rPr>
              <w:t xml:space="preserve">FROM Finance_Mart.Fact_Monthly_Profitability f</w:t>
            </w:r>
          </w:p>
          <w:p>
            <w:r>
              <w:rPr>
                <w:rFonts w:ascii="Courier New" w:cs="Courier New" w:eastAsia="Courier New" w:hAnsi="Courier New"/>
                <w:color w:val="FFFFFF"/>
                <w:sz w:val="19"/>
                <w:szCs w:val="19"/>
              </w:rPr>
              <w:t xml:space="preserve">JOIN Finance_Mart.Dim_Product p ON f.Product_Key = p.Product_Key</w:t>
            </w:r>
          </w:p>
          <w:p>
            <w:r>
              <w:rPr>
                <w:rFonts w:ascii="Courier New" w:cs="Courier New" w:eastAsia="Courier New" w:hAnsi="Courier New"/>
                <w:color w:val="FFFFFF"/>
                <w:sz w:val="19"/>
                <w:szCs w:val="19"/>
              </w:rPr>
              <w:t xml:space="preserve">JOIN Finance_Mart.Dim_Month m ON f.Month_Key = m.Month_Key</w:t>
            </w:r>
          </w:p>
          <w:p>
            <w:r>
              <w:rPr>
                <w:rFonts w:ascii="Courier New" w:cs="Courier New" w:eastAsia="Courier New" w:hAnsi="Courier New"/>
                <w:color w:val="FFFFFF"/>
                <w:sz w:val="19"/>
                <w:szCs w:val="19"/>
              </w:rPr>
              <w:t xml:space="preserve">WHERE m.Fiscal_Quarter = 'Q4' AND m.Fiscal_Year = 2024</w:t>
            </w:r>
          </w:p>
          <w:p>
            <w:r>
              <w:rPr>
                <w:rFonts w:ascii="Courier New" w:cs="Courier New" w:eastAsia="Courier New" w:hAnsi="Courier New"/>
                <w:color w:val="FFFFFF"/>
                <w:sz w:val="19"/>
                <w:szCs w:val="19"/>
              </w:rPr>
              <w:t xml:space="preserve">GROUP BY p.Product_Category, p.Product_Name</w:t>
            </w:r>
          </w:p>
          <w:p>
            <w:r>
              <w:rPr>
                <w:rFonts w:ascii="Courier New" w:cs="Courier New" w:eastAsia="Courier New" w:hAnsi="Courier New"/>
                <w:color w:val="FFFFFF"/>
                <w:sz w:val="19"/>
                <w:szCs w:val="19"/>
              </w:rPr>
              <w:t xml:space="preserve">ORDER BY Total_Margin DESC;</w:t>
            </w:r>
          </w:p>
        </w:tc>
      </w:tr>
    </w:tbl>
    <w:p>
      <w:r>
        <w:br w:type="page"/>
      </w:r>
    </w:p>
    <w:p>
      <w:pPr>
        <w:pStyle w:val="Heading1"/>
      </w:pPr>
      <w:r>
        <w:t xml:space="preserve">Part 3: The Marketing Mart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3E5F5" w:val="clear"/>
            <w:tcMar>
              <w:top w:type="dxa" w:w="80"/>
              <w:left w:type="dxa" w:w="120"/>
              <w:bottom w:type="dxa" w:w="80"/>
              <w:right w:type="dxa" w:w="120"/>
            </w:tcMar>
          </w:tcPr>
          <w:p>
            <w:r>
              <w:rPr>
                <w:b/>
                <w:bCs/>
                <w:color w:val="7B1FA2"/>
                <w:sz w:val="28"/>
                <w:szCs w:val="28"/>
              </w:rPr>
              <w:t xml:space="preserve">MARKETING MART</w:t>
            </w:r>
            <w:r>
              <w:rPr>
                <w:color w:val="666666"/>
                <w:sz w:val="20"/>
                <w:szCs w:val="20"/>
              </w:rPr>
              <w:t xml:space="preserve">  |  Users: CMO, Campaign Managers, Analysts</w:t>
            </w:r>
          </w:p>
        </w:tc>
      </w:tr>
    </w:tbl>
    <w:p>
      <w:pPr>
        <w:spacing w:before="200"/>
      </w:pPr>
    </w:p>
    <w:p>
      <w:pPr>
        <w:pStyle w:val="Heading2"/>
      </w:pPr>
      <w:r>
        <w:t xml:space="preserve">Key Questions Marketing Needs to Answer</w:t>
      </w:r>
    </w:p>
    <w:p>
      <w:pPr>
        <w:pStyle w:val="ListParagraph"/>
        <w:numPr>
          <w:ilvl w:val="0"/>
          <w:numId w:val="3"/>
        </w:numPr>
      </w:pPr>
      <w:r>
        <w:t xml:space="preserve">Which campaigns drove the most account openings?</w:t>
      </w:r>
    </w:p>
    <w:p>
      <w:pPr>
        <w:pStyle w:val="ListParagraph"/>
        <w:numPr>
          <w:ilvl w:val="0"/>
          <w:numId w:val="3"/>
        </w:numPr>
      </w:pPr>
      <w:r>
        <w:t xml:space="preserve">What's our customer acquisition cost by channel?</w:t>
      </w:r>
    </w:p>
    <w:p>
      <w:pPr>
        <w:pStyle w:val="ListParagraph"/>
        <w:numPr>
          <w:ilvl w:val="0"/>
          <w:numId w:val="3"/>
        </w:numPr>
      </w:pPr>
      <w:r>
        <w:t xml:space="preserve">What's the customer lifetime value by acquisition source?</w:t>
      </w:r>
    </w:p>
    <w:p>
      <w:pPr>
        <w:spacing w:before="300"/>
      </w:pPr>
    </w:p>
    <w:p>
      <w:pPr>
        <w:pStyle w:val="Heading2"/>
      </w:pPr>
      <w:r>
        <w:t xml:space="preserve">Marketing Mart: Fact_Campaign_Response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2340"/>
        <w:gridCol w:w="3900"/>
      </w:tblGrid>
      <w:tr>
        <w:tc>
          <w:tcPr>
            <w:tcW w:type="dxa" w:w="312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Column</w:t>
            </w:r>
          </w:p>
        </w:tc>
        <w:tc>
          <w:tcPr>
            <w:tcW w:type="dxa" w:w="23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Type</w:t>
            </w:r>
          </w:p>
        </w:tc>
        <w:tc>
          <w:tcPr>
            <w:tcW w:type="dxa" w:w="390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Description</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Campaign_Key (FK)</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Foreign Key</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Links to Dim_Campaign</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Channel_Key (FK)</w:t>
            </w:r>
          </w:p>
        </w:tc>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Foreign Key</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Email, Direct Mail, Digital</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7B1FA2"/>
              </w:rPr>
              <w:t xml:space="preserve">Contacts_Sent</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Number of contacts sent</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7B1FA2"/>
              </w:rPr>
              <w:t xml:space="preserve">Conversions</w:t>
            </w:r>
          </w:p>
        </w:tc>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Number who opened accounts</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7B1FA2"/>
              </w:rPr>
              <w:t xml:space="preserve">Campaign_Cost</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Cost allocated to this segment</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7B1FA2"/>
              </w:rPr>
              <w:t xml:space="preserve">Revenue_Generated</w:t>
            </w:r>
          </w:p>
        </w:tc>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First-year revenue from conversions</w:t>
            </w:r>
          </w:p>
        </w:tc>
      </w:tr>
    </w:tbl>
    <w:p>
      <w:pPr>
        <w:spacing w:before="300"/>
      </w:pPr>
    </w:p>
    <w:p>
      <w:pPr>
        <w:pStyle w:val="Heading3"/>
      </w:pPr>
      <w:r>
        <w:t xml:space="preserve">Sample Marketing Query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4CAF50"/>
                <w:sz w:val="19"/>
                <w:szCs w:val="19"/>
              </w:rPr>
              <w:t xml:space="preserve">-- Campaign ROI by channel for 2024</w:t>
            </w:r>
          </w:p>
          <w:p>
            <w:r>
              <w:rPr>
                <w:rFonts w:ascii="Courier New" w:cs="Courier New" w:eastAsia="Courier New" w:hAnsi="Courier New"/>
                <w:color w:val="FFFFFF"/>
                <w:sz w:val="19"/>
                <w:szCs w:val="19"/>
              </w:rPr>
              <w:t xml:space="preserve">SELECT c.Campaign_Name, ch.Channel_Name,</w:t>
            </w:r>
          </w:p>
          <w:p>
            <w:r>
              <w:rPr>
                <w:rFonts w:ascii="Courier New" w:cs="Courier New" w:eastAsia="Courier New" w:hAnsi="Courier New"/>
                <w:color w:val="FFFFFF"/>
                <w:sz w:val="19"/>
                <w:szCs w:val="19"/>
              </w:rPr>
              <w:t xml:space="preserve">       SUM(f.Conversions) AS Total_Conversions,</w:t>
            </w:r>
          </w:p>
          <w:p>
            <w:r>
              <w:rPr>
                <w:rFonts w:ascii="Courier New" w:cs="Courier New" w:eastAsia="Courier New" w:hAnsi="Courier New"/>
                <w:color w:val="FFFFFF"/>
                <w:sz w:val="19"/>
                <w:szCs w:val="19"/>
              </w:rPr>
              <w:t xml:space="preserve">       SUM(f.Campaign_Cost) AS Total_Cost,</w:t>
            </w:r>
          </w:p>
          <w:p>
            <w:r>
              <w:rPr>
                <w:rFonts w:ascii="Courier New" w:cs="Courier New" w:eastAsia="Courier New" w:hAnsi="Courier New"/>
                <w:color w:val="FFFFFF"/>
                <w:sz w:val="19"/>
                <w:szCs w:val="19"/>
              </w:rPr>
              <w:t xml:space="preserve">       SUM(f.Revenue_Generated) AS Total_Revenue,</w:t>
            </w:r>
          </w:p>
          <w:p>
            <w:r>
              <w:rPr>
                <w:rFonts w:ascii="Courier New" w:cs="Courier New" w:eastAsia="Courier New" w:hAnsi="Courier New"/>
                <w:color w:val="FFFFFF"/>
                <w:sz w:val="19"/>
                <w:szCs w:val="19"/>
              </w:rPr>
              <w:t xml:space="preserve">       ROUND((SUM(f.Revenue_Generated) - SUM(f.Campaign_Cost)) /</w:t>
            </w:r>
          </w:p>
          <w:p>
            <w:r>
              <w:rPr>
                <w:rFonts w:ascii="Courier New" w:cs="Courier New" w:eastAsia="Courier New" w:hAnsi="Courier New"/>
                <w:color w:val="FFFFFF"/>
                <w:sz w:val="19"/>
                <w:szCs w:val="19"/>
              </w:rPr>
              <w:t xml:space="preserve">             NULLIF(SUM(f.Campaign_Cost), 0) * 100, 1) AS ROI_Pct</w:t>
            </w:r>
          </w:p>
          <w:p>
            <w:r>
              <w:rPr>
                <w:rFonts w:ascii="Courier New" w:cs="Courier New" w:eastAsia="Courier New" w:hAnsi="Courier New"/>
                <w:color w:val="FFFFFF"/>
                <w:sz w:val="19"/>
                <w:szCs w:val="19"/>
              </w:rPr>
              <w:t xml:space="preserve">FROM Marketing_Mart.Fact_Campaign_Response f</w:t>
            </w:r>
          </w:p>
          <w:p>
            <w:r>
              <w:rPr>
                <w:rFonts w:ascii="Courier New" w:cs="Courier New" w:eastAsia="Courier New" w:hAnsi="Courier New"/>
                <w:color w:val="FFFFFF"/>
                <w:sz w:val="19"/>
                <w:szCs w:val="19"/>
              </w:rPr>
              <w:t xml:space="preserve">JOIN Marketing_Mart.Dim_Campaign c ON f.Campaign_Key = c.Campaign_Key</w:t>
            </w:r>
          </w:p>
          <w:p>
            <w:r>
              <w:rPr>
                <w:rFonts w:ascii="Courier New" w:cs="Courier New" w:eastAsia="Courier New" w:hAnsi="Courier New"/>
                <w:color w:val="FFFFFF"/>
                <w:sz w:val="19"/>
                <w:szCs w:val="19"/>
              </w:rPr>
              <w:t xml:space="preserve">JOIN Marketing_Mart.Dim_Channel ch ON f.Channel_Key = ch.Channel_Key</w:t>
            </w:r>
          </w:p>
          <w:p>
            <w:r>
              <w:rPr>
                <w:rFonts w:ascii="Courier New" w:cs="Courier New" w:eastAsia="Courier New" w:hAnsi="Courier New"/>
                <w:color w:val="FFFFFF"/>
                <w:sz w:val="19"/>
                <w:szCs w:val="19"/>
              </w:rPr>
              <w:t xml:space="preserve">WHERE c.Campaign_Year = 2024</w:t>
            </w:r>
          </w:p>
          <w:p>
            <w:r>
              <w:rPr>
                <w:rFonts w:ascii="Courier New" w:cs="Courier New" w:eastAsia="Courier New" w:hAnsi="Courier New"/>
                <w:color w:val="FFFFFF"/>
                <w:sz w:val="19"/>
                <w:szCs w:val="19"/>
              </w:rPr>
              <w:t xml:space="preserve">GROUP BY c.Campaign_Name, ch.Channel_Name ORDER BY ROI_Pct DESC;</w:t>
            </w:r>
          </w:p>
        </w:tc>
      </w:tr>
    </w:tbl>
    <w:p>
      <w:r>
        <w:br w:type="page"/>
      </w:r>
    </w:p>
    <w:p>
      <w:pPr>
        <w:pStyle w:val="Heading1"/>
      </w:pPr>
      <w:r>
        <w:t xml:space="preserve">Part 4: The Risk Mart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b/>
                <w:bCs/>
                <w:color w:val="C62828"/>
                <w:sz w:val="28"/>
                <w:szCs w:val="28"/>
              </w:rPr>
              <w:t xml:space="preserve">RISK MART</w:t>
            </w:r>
            <w:r>
              <w:rPr>
                <w:color w:val="666666"/>
                <w:sz w:val="20"/>
                <w:szCs w:val="20"/>
              </w:rPr>
              <w:t xml:space="preserve">  |  Users: CRO, Risk Officers, Compliance, Fraud Team</w:t>
            </w:r>
          </w:p>
        </w:tc>
      </w:tr>
    </w:tbl>
    <w:p>
      <w:pPr>
        <w:spacing w:before="200"/>
      </w:pPr>
    </w:p>
    <w:p>
      <w:pPr>
        <w:pStyle w:val="Heading2"/>
      </w:pPr>
      <w:r>
        <w:t xml:space="preserve">Key Questions Risk Needs to Answer</w:t>
      </w:r>
    </w:p>
    <w:p>
      <w:pPr>
        <w:pStyle w:val="ListParagraph"/>
        <w:numPr>
          <w:ilvl w:val="0"/>
          <w:numId w:val="3"/>
        </w:numPr>
      </w:pPr>
      <w:r>
        <w:t xml:space="preserve">What are the fraud patterns by channel and transaction type?</w:t>
      </w:r>
    </w:p>
    <w:p>
      <w:pPr>
        <w:pStyle w:val="ListParagraph"/>
        <w:numPr>
          <w:ilvl w:val="0"/>
          <w:numId w:val="3"/>
        </w:numPr>
      </w:pPr>
      <w:r>
        <w:t xml:space="preserve">Which accounts are at highest risk of default?</w:t>
      </w:r>
    </w:p>
    <w:p>
      <w:pPr>
        <w:pStyle w:val="ListParagraph"/>
        <w:numPr>
          <w:ilvl w:val="0"/>
          <w:numId w:val="3"/>
        </w:numPr>
      </w:pPr>
      <w:r>
        <w:t xml:space="preserve">What's our exposure by region and product?</w:t>
      </w:r>
    </w:p>
    <w:p>
      <w:pPr>
        <w:spacing w:before="300"/>
      </w:pPr>
    </w:p>
    <w:p>
      <w:pPr>
        <w:pStyle w:val="Heading2"/>
      </w:pPr>
      <w:r>
        <w:t xml:space="preserve">Risk Mart: Fact_Fraud_Event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2340"/>
        <w:gridCol w:w="3900"/>
      </w:tblGrid>
      <w:tr>
        <w:tc>
          <w:tcPr>
            <w:tcW w:type="dxa" w:w="312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Column</w:t>
            </w:r>
          </w:p>
        </w:tc>
        <w:tc>
          <w:tcPr>
            <w:tcW w:type="dxa" w:w="23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Type</w:t>
            </w:r>
          </w:p>
        </w:tc>
        <w:tc>
          <w:tcPr>
            <w:tcW w:type="dxa" w:w="390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Description</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Event_Date_Key (FK)</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Foreign Key</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Links to Dim_Date</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Fraud_Type_Key (FK)</w:t>
            </w:r>
          </w:p>
        </w:tc>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Foreign Key</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Links to Dim_Fraud_Type</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C62828"/>
              </w:rPr>
              <w:t xml:space="preserve">Attempted_Amount</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Amount of attempted fraud</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C62828"/>
              </w:rPr>
              <w:t xml:space="preserve">Prevented_Amount</w:t>
            </w:r>
          </w:p>
        </w:tc>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Amount blocked by controls</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C62828"/>
              </w:rPr>
              <w:t xml:space="preserve">Loss_Amount</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Actual loss incurred</w:t>
            </w:r>
          </w:p>
        </w:tc>
      </w:tr>
    </w:tbl>
    <w:p>
      <w:pPr>
        <w:spacing w:before="300"/>
      </w:pPr>
    </w:p>
    <w:p>
      <w:pPr>
        <w:pStyle w:val="Heading3"/>
      </w:pPr>
      <w:r>
        <w:t xml:space="preserve">Sample Risk Query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4CAF50"/>
                <w:sz w:val="19"/>
                <w:szCs w:val="19"/>
              </w:rPr>
              <w:t xml:space="preserve">-- Fraud trends by channel and detection method</w:t>
            </w:r>
          </w:p>
          <w:p>
            <w:r>
              <w:rPr>
                <w:rFonts w:ascii="Courier New" w:cs="Courier New" w:eastAsia="Courier New" w:hAnsi="Courier New"/>
                <w:color w:val="FFFFFF"/>
                <w:sz w:val="19"/>
                <w:szCs w:val="19"/>
              </w:rPr>
              <w:t xml:space="preserve">SELECT d.Month_Name, ch.Channel_Name,</w:t>
            </w:r>
          </w:p>
          <w:p>
            <w:r>
              <w:rPr>
                <w:rFonts w:ascii="Courier New" w:cs="Courier New" w:eastAsia="Courier New" w:hAnsi="Courier New"/>
                <w:color w:val="FFFFFF"/>
                <w:sz w:val="19"/>
                <w:szCs w:val="19"/>
              </w:rPr>
              <w:t xml:space="preserve">       SUM(f.Attempted_Amount) AS Total_Attempted,</w:t>
            </w:r>
          </w:p>
          <w:p>
            <w:r>
              <w:rPr>
                <w:rFonts w:ascii="Courier New" w:cs="Courier New" w:eastAsia="Courier New" w:hAnsi="Courier New"/>
                <w:color w:val="FFFFFF"/>
                <w:sz w:val="19"/>
                <w:szCs w:val="19"/>
              </w:rPr>
              <w:t xml:space="preserve">       SUM(f.Prevented_Amount) AS Total_Prevented,</w:t>
            </w:r>
          </w:p>
          <w:p>
            <w:r>
              <w:rPr>
                <w:rFonts w:ascii="Courier New" w:cs="Courier New" w:eastAsia="Courier New" w:hAnsi="Courier New"/>
                <w:color w:val="FFFFFF"/>
                <w:sz w:val="19"/>
                <w:szCs w:val="19"/>
              </w:rPr>
              <w:t xml:space="preserve">       ROUND(SUM(f.Prevented_Amount) * 100.0 /</w:t>
            </w:r>
          </w:p>
          <w:p>
            <w:r>
              <w:rPr>
                <w:rFonts w:ascii="Courier New" w:cs="Courier New" w:eastAsia="Courier New" w:hAnsi="Courier New"/>
                <w:color w:val="FFFFFF"/>
                <w:sz w:val="19"/>
                <w:szCs w:val="19"/>
              </w:rPr>
              <w:t xml:space="preserve">             NULLIF(SUM(f.Attempted_Amount), 0), 1) AS Prevention_Rate</w:t>
            </w:r>
          </w:p>
          <w:p>
            <w:r>
              <w:rPr>
                <w:rFonts w:ascii="Courier New" w:cs="Courier New" w:eastAsia="Courier New" w:hAnsi="Courier New"/>
                <w:color w:val="FFFFFF"/>
                <w:sz w:val="19"/>
                <w:szCs w:val="19"/>
              </w:rPr>
              <w:t xml:space="preserve">FROM Risk_Mart.Fact_Fraud_Event f</w:t>
            </w:r>
          </w:p>
          <w:p>
            <w:r>
              <w:rPr>
                <w:rFonts w:ascii="Courier New" w:cs="Courier New" w:eastAsia="Courier New" w:hAnsi="Courier New"/>
                <w:color w:val="FFFFFF"/>
                <w:sz w:val="19"/>
                <w:szCs w:val="19"/>
              </w:rPr>
              <w:t xml:space="preserve">JOIN Risk_Mart.Dim_Date d ON f.Event_Date_Key = d.Date_Key</w:t>
            </w:r>
          </w:p>
          <w:p>
            <w:r>
              <w:rPr>
                <w:rFonts w:ascii="Courier New" w:cs="Courier New" w:eastAsia="Courier New" w:hAnsi="Courier New"/>
                <w:color w:val="FFFFFF"/>
                <w:sz w:val="19"/>
                <w:szCs w:val="19"/>
              </w:rPr>
              <w:t xml:space="preserve">JOIN Risk_Mart.Dim_Channel ch ON f.Channel_Key = ch.Channel_Key</w:t>
            </w:r>
          </w:p>
          <w:p>
            <w:r>
              <w:rPr>
                <w:rFonts w:ascii="Courier New" w:cs="Courier New" w:eastAsia="Courier New" w:hAnsi="Courier New"/>
                <w:color w:val="FFFFFF"/>
                <w:sz w:val="19"/>
                <w:szCs w:val="19"/>
              </w:rPr>
              <w:t xml:space="preserve">WHERE d.Year = 2024</w:t>
            </w:r>
          </w:p>
          <w:p>
            <w:r>
              <w:rPr>
                <w:rFonts w:ascii="Courier New" w:cs="Courier New" w:eastAsia="Courier New" w:hAnsi="Courier New"/>
                <w:color w:val="FFFFFF"/>
                <w:sz w:val="19"/>
                <w:szCs w:val="19"/>
              </w:rPr>
              <w:t xml:space="preserve">GROUP BY d.Month_Name, d.Month_Num, ch.Channel_Name</w:t>
            </w:r>
          </w:p>
          <w:p>
            <w:r>
              <w:rPr>
                <w:rFonts w:ascii="Courier New" w:cs="Courier New" w:eastAsia="Courier New" w:hAnsi="Courier New"/>
                <w:color w:val="FFFFFF"/>
                <w:sz w:val="19"/>
                <w:szCs w:val="19"/>
              </w:rPr>
              <w:t xml:space="preserve">ORDER BY d.Month_Num, Total_Attempted DESC;</w:t>
            </w:r>
          </w:p>
        </w:tc>
      </w:tr>
    </w:tbl>
    <w:p>
      <w:r>
        <w:br w:type="page"/>
      </w:r>
    </w:p>
    <w:p>
      <w:pPr>
        <w:pStyle w:val="Heading1"/>
      </w:pPr>
      <w:r>
        <w:t xml:space="preserve">Part 5: The Operations Mart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b/>
                <w:bCs/>
                <w:color w:val="2E7D32"/>
                <w:sz w:val="28"/>
                <w:szCs w:val="28"/>
              </w:rPr>
              <w:t xml:space="preserve">OPERATIONS MART</w:t>
            </w:r>
            <w:r>
              <w:rPr>
                <w:color w:val="666666"/>
                <w:sz w:val="20"/>
                <w:szCs w:val="20"/>
              </w:rPr>
              <w:t xml:space="preserve">  |  Users: COO, Branch Managers, Workforce Planning</w:t>
            </w:r>
          </w:p>
        </w:tc>
      </w:tr>
    </w:tbl>
    <w:p>
      <w:pPr>
        <w:spacing w:before="200"/>
      </w:pPr>
    </w:p>
    <w:p>
      <w:pPr>
        <w:pStyle w:val="Heading2"/>
      </w:pPr>
      <w:r>
        <w:t xml:space="preserve">Key Questions Operations Needs to Answer</w:t>
      </w:r>
    </w:p>
    <w:p>
      <w:pPr>
        <w:pStyle w:val="ListParagraph"/>
        <w:numPr>
          <w:ilvl w:val="0"/>
          <w:numId w:val="3"/>
        </w:numPr>
      </w:pPr>
      <w:r>
        <w:t xml:space="preserve">What are peak transaction times by branch?</w:t>
      </w:r>
    </w:p>
    <w:p>
      <w:pPr>
        <w:pStyle w:val="ListParagraph"/>
        <w:numPr>
          <w:ilvl w:val="0"/>
          <w:numId w:val="3"/>
        </w:numPr>
      </w:pPr>
      <w:r>
        <w:t xml:space="preserve">Which ATMs have the highest utilization?</w:t>
      </w:r>
    </w:p>
    <w:p>
      <w:pPr>
        <w:pStyle w:val="ListParagraph"/>
        <w:numPr>
          <w:ilvl w:val="0"/>
          <w:numId w:val="3"/>
        </w:numPr>
      </w:pPr>
      <w:r>
        <w:t xml:space="preserve">What staffing levels do we need by day and hour?</w:t>
      </w:r>
    </w:p>
    <w:p>
      <w:pPr>
        <w:spacing w:before="300"/>
      </w:pPr>
    </w:p>
    <w:p>
      <w:pPr>
        <w:pStyle w:val="Heading2"/>
      </w:pPr>
      <w:r>
        <w:t xml:space="preserve">Operations Mart: Fact_Hourly_Transaction_Volume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2340"/>
        <w:gridCol w:w="3900"/>
      </w:tblGrid>
      <w:tr>
        <w:tc>
          <w:tcPr>
            <w:tcW w:type="dxa" w:w="312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Column</w:t>
            </w:r>
          </w:p>
        </w:tc>
        <w:tc>
          <w:tcPr>
            <w:tcW w:type="dxa" w:w="23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Type</w:t>
            </w:r>
          </w:p>
        </w:tc>
        <w:tc>
          <w:tcPr>
            <w:tcW w:type="dxa" w:w="390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Description</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Date_Key (FK)</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Foreign Key</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Links to Dim_Date</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Hour_of_Day</w:t>
            </w:r>
          </w:p>
        </w:tc>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INT (0-23)</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Hour bucket</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Branch_Key (FK)</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Foreign Key</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Links to Dim_Branch</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2E7D32"/>
              </w:rPr>
              <w:t xml:space="preserve">Transaction_Count</w:t>
            </w:r>
          </w:p>
        </w:tc>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Number of transactions in hour</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2E7D32"/>
              </w:rPr>
              <w:t xml:space="preserve">Transaction_Amount</w:t>
            </w:r>
          </w:p>
        </w:tc>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MEASURE</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Total dollar volume in hour</w:t>
            </w:r>
          </w:p>
        </w:tc>
      </w:tr>
    </w:tbl>
    <w:p>
      <w:r>
        <w:br w:type="page"/>
      </w:r>
    </w:p>
    <w:p>
      <w:pPr>
        <w:pStyle w:val="Heading1"/>
      </w:pPr>
      <w:r>
        <w:t xml:space="preserve">Part 6: Aggregate Tables and Materialized Views</w:t>
      </w:r>
    </w:p>
    <w:p>
      <w:pPr>
        <w:spacing w:after="200"/>
      </w:pPr>
      <w:r>
        <w:t xml:space="preserve">Data marts often pre-compute aggregations. Instead of summing millions of rows at query time, we calculate totals once and store them.</w:t>
      </w:r>
    </w:p>
    <w:p>
      <w:pPr>
        <w:pStyle w:val="Heading2"/>
      </w:pPr>
      <w:r>
        <w:t xml:space="preserve">When to Create Aggregates</w:t>
      </w:r>
    </w:p>
    <w:p>
      <w:pPr>
        <w:pStyle w:val="ListParagraph"/>
        <w:numPr>
          <w:ilvl w:val="0"/>
          <w:numId w:val="3"/>
        </w:numPr>
      </w:pPr>
      <w:r>
        <w:rPr>
          <w:b/>
          <w:bCs/>
        </w:rPr>
        <w:t xml:space="preserve">Common queries: </w:t>
      </w:r>
      <w:r>
        <w:t xml:space="preserve">If everyone runs "monthly totals by product," pre-calculate it</w:t>
      </w:r>
    </w:p>
    <w:p>
      <w:pPr>
        <w:pStyle w:val="ListParagraph"/>
        <w:numPr>
          <w:ilvl w:val="0"/>
          <w:numId w:val="3"/>
        </w:numPr>
      </w:pPr>
      <w:r>
        <w:rPr>
          <w:b/>
          <w:bCs/>
        </w:rPr>
        <w:t xml:space="preserve">Large data volumes: </w:t>
      </w:r>
      <w:r>
        <w:t xml:space="preserve">Summarizing 100M rows? Store the summary.</w:t>
      </w:r>
    </w:p>
    <w:p>
      <w:pPr>
        <w:pStyle w:val="ListParagraph"/>
        <w:numPr>
          <w:ilvl w:val="0"/>
          <w:numId w:val="3"/>
        </w:numPr>
      </w:pPr>
      <w:r>
        <w:rPr>
          <w:b/>
          <w:bCs/>
        </w:rPr>
        <w:t xml:space="preserve">Dashboard performance: </w:t>
      </w:r>
      <w:r>
        <w:t xml:space="preserve">Real-time dashboards need sub-second response</w:t>
      </w:r>
    </w:p>
    <w:p>
      <w:pPr>
        <w:spacing w:before="300"/>
      </w:pPr>
    </w:p>
    <w:p>
      <w:pPr>
        <w:pStyle w:val="Heading2"/>
      </w:pPr>
      <w:r>
        <w:t xml:space="preserve">Creating a Materialized View</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4CAF50"/>
                <w:sz w:val="19"/>
                <w:szCs w:val="19"/>
              </w:rPr>
              <w:t xml:space="preserve">-- Pre-aggregated monthly summary for Finance dashboards</w:t>
            </w:r>
          </w:p>
          <w:p>
            <w:r>
              <w:rPr>
                <w:rFonts w:ascii="Courier New" w:cs="Courier New" w:eastAsia="Courier New" w:hAnsi="Courier New"/>
                <w:color w:val="FFFFFF"/>
                <w:sz w:val="19"/>
                <w:szCs w:val="19"/>
              </w:rPr>
              <w:t xml:space="preserve">CREATE MATERIALIZED VIEW Finance_Mart.MV_Monthly_Summary</w:t>
            </w:r>
          </w:p>
          <w:p>
            <w:r>
              <w:rPr>
                <w:rFonts w:ascii="Courier New" w:cs="Courier New" w:eastAsia="Courier New" w:hAnsi="Courier New"/>
                <w:color w:val="FFFFFF"/>
                <w:sz w:val="19"/>
                <w:szCs w:val="19"/>
              </w:rPr>
              <w:t xml:space="preserve">BUILD IMMEDIATE</w:t>
            </w:r>
          </w:p>
          <w:p>
            <w:r>
              <w:rPr>
                <w:rFonts w:ascii="Courier New" w:cs="Courier New" w:eastAsia="Courier New" w:hAnsi="Courier New"/>
                <w:color w:val="FFFFFF"/>
                <w:sz w:val="19"/>
                <w:szCs w:val="19"/>
              </w:rPr>
              <w:t xml:space="preserve">REFRESH COMPLETE ON DEMAND  -- Rebuild nightly after ETL</w:t>
            </w:r>
          </w:p>
          <w:p>
            <w:r>
              <w:rPr>
                <w:rFonts w:ascii="Courier New" w:cs="Courier New" w:eastAsia="Courier New" w:hAnsi="Courier New"/>
                <w:color w:val="FFFFFF"/>
                <w:sz w:val="19"/>
                <w:szCs w:val="19"/>
              </w:rPr>
              <w:t xml:space="preserve">AS</w:t>
            </w:r>
          </w:p>
          <w:p>
            <w:r>
              <w:rPr>
                <w:rFonts w:ascii="Courier New" w:cs="Courier New" w:eastAsia="Courier New" w:hAnsi="Courier New"/>
                <w:color w:val="FFFFFF"/>
                <w:sz w:val="19"/>
                <w:szCs w:val="19"/>
              </w:rPr>
              <w:t xml:space="preserve">SELECT m.Year, m.Month_Name, p.Product_Category,</w:t>
            </w:r>
          </w:p>
          <w:p>
            <w:r>
              <w:rPr>
                <w:rFonts w:ascii="Courier New" w:cs="Courier New" w:eastAsia="Courier New" w:hAnsi="Courier New"/>
                <w:color w:val="FFFFFF"/>
                <w:sz w:val="19"/>
                <w:szCs w:val="19"/>
              </w:rPr>
              <w:t xml:space="preserve">       COUNT(DISTINCT f.Account_Key) AS Active_Accounts,</w:t>
            </w:r>
          </w:p>
          <w:p>
            <w:r>
              <w:rPr>
                <w:rFonts w:ascii="Courier New" w:cs="Courier New" w:eastAsia="Courier New" w:hAnsi="Courier New"/>
                <w:color w:val="FFFFFF"/>
                <w:sz w:val="19"/>
                <w:szCs w:val="19"/>
              </w:rPr>
              <w:t xml:space="preserve">       SUM(f.Net_Margin) AS Total_Net_Margin</w:t>
            </w:r>
          </w:p>
          <w:p>
            <w:r>
              <w:rPr>
                <w:rFonts w:ascii="Courier New" w:cs="Courier New" w:eastAsia="Courier New" w:hAnsi="Courier New"/>
                <w:color w:val="FFFFFF"/>
                <w:sz w:val="19"/>
                <w:szCs w:val="19"/>
              </w:rPr>
              <w:t xml:space="preserve">FROM Finance_Mart.Fact_Monthly_Profitability f</w:t>
            </w:r>
          </w:p>
          <w:p>
            <w:r>
              <w:rPr>
                <w:rFonts w:ascii="Courier New" w:cs="Courier New" w:eastAsia="Courier New" w:hAnsi="Courier New"/>
                <w:color w:val="FFFFFF"/>
                <w:sz w:val="19"/>
                <w:szCs w:val="19"/>
              </w:rPr>
              <w:t xml:space="preserve">JOIN Finance_Mart.Dim_Month m ON f.Month_Key = m.Month_Key</w:t>
            </w:r>
          </w:p>
          <w:p>
            <w:r>
              <w:rPr>
                <w:rFonts w:ascii="Courier New" w:cs="Courier New" w:eastAsia="Courier New" w:hAnsi="Courier New"/>
                <w:color w:val="FFFFFF"/>
                <w:sz w:val="19"/>
                <w:szCs w:val="19"/>
              </w:rPr>
              <w:t xml:space="preserve">JOIN Finance_Mart.Dim_Product p ON f.Product_Key = p.Product_Key</w:t>
            </w:r>
          </w:p>
          <w:p>
            <w:r>
              <w:rPr>
                <w:rFonts w:ascii="Courier New" w:cs="Courier New" w:eastAsia="Courier New" w:hAnsi="Courier New"/>
                <w:color w:val="FFFFFF"/>
                <w:sz w:val="19"/>
                <w:szCs w:val="19"/>
              </w:rPr>
              <w:t xml:space="preserve">GROUP BY m.Year, m.Month_Num, m.Month_Name, p.Product_Category;</w:t>
            </w:r>
          </w:p>
        </w:tc>
      </w:tr>
    </w:tbl>
    <w:p>
      <w:pPr>
        <w:spacing w:before="3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3E5F5" w:val="clear"/>
            <w:tcMar>
              <w:top w:type="dxa" w:w="80"/>
              <w:left w:type="dxa" w:w="120"/>
              <w:bottom w:type="dxa" w:w="80"/>
              <w:right w:type="dxa" w:w="120"/>
            </w:tcMar>
          </w:tcPr>
          <w:p>
            <w:pPr>
              <w:spacing w:after="120"/>
            </w:pPr>
            <w:r>
              <w:rPr>
                <w:b/>
                <w:bCs/>
                <w:color w:val="7B1FA2"/>
                <w:sz w:val="24"/>
                <w:szCs w:val="24"/>
              </w:rPr>
              <w:t xml:space="preserve">Aggregate Navigation</w:t>
            </w:r>
          </w:p>
          <w:p>
            <w:r>
              <w:t xml:space="preserve">Modern BI tools can automatically route queries to aggregates. If a user asks for monthly totals, the optimizer uses the materialized view instead of scanning the detail fact table. This is called "aggregate navigation" or "query rewrite."</w:t>
            </w:r>
          </w:p>
        </w:tc>
      </w:tr>
    </w:tbl>
    <w:p>
      <w:r>
        <w:br w:type="page"/>
      </w:r>
    </w:p>
    <w:p>
      <w:pPr>
        <w:pStyle w:val="Heading1"/>
      </w:pPr>
      <w:r>
        <w:t xml:space="preserve">Part 7: Data Mart Security</w:t>
      </w:r>
    </w:p>
    <w:p>
      <w:pPr>
        <w:spacing w:after="200"/>
      </w:pPr>
      <w:r>
        <w:t xml:space="preserve">Not everyone should see everything. Data marts enable fine-grained access control.</w:t>
      </w:r>
    </w:p>
    <w:p>
      <w:pPr>
        <w:pStyle w:val="Heading2"/>
      </w:pPr>
      <w:r>
        <w:t xml:space="preserve">Security Layers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3510"/>
        <w:gridCol w:w="3510"/>
      </w:tblGrid>
      <w:tr>
        <w:tc>
          <w:tcPr>
            <w:tcW w:type="dxa" w:w="23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Level</w:t>
            </w:r>
          </w:p>
        </w:tc>
        <w:tc>
          <w:tcPr>
            <w:tcW w:type="dxa" w:w="351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What It Controls</w:t>
            </w:r>
          </w:p>
        </w:tc>
        <w:tc>
          <w:tcPr>
            <w:tcW w:type="dxa" w:w="351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Example</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Schema Access</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Which marts a user can see</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Marketing can't access Risk_Mart</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Column Access</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Which columns are visible</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Customer_SSN hidden from most users</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Row Access</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Which rows a user can query</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Branch manager sees only their branch</w:t>
            </w:r>
          </w:p>
        </w:tc>
      </w:tr>
    </w:tbl>
    <w:p>
      <w:pPr>
        <w:spacing w:before="3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pPr>
              <w:spacing w:after="120"/>
            </w:pPr>
            <w:r>
              <w:rPr>
                <w:b/>
                <w:bCs/>
                <w:color w:val="C62828"/>
                <w:sz w:val="24"/>
                <w:szCs w:val="24"/>
              </w:rPr>
              <w:t xml:space="preserve">Security is Non-Negotiable in Banking</w:t>
            </w:r>
          </w:p>
          <w:p>
            <w:r>
              <w:t xml:space="preserve">Banking data is heavily regulated (GLBA, SOX, GDPR). Every query is potentially auditable. Data marts must enforce least-privilege access—users see only what they need for their job.</w:t>
            </w:r>
          </w:p>
        </w:tc>
      </w:tr>
    </w:tbl>
    <w:p>
      <w:r>
        <w:br w:type="page"/>
      </w:r>
    </w:p>
    <w:p>
      <w:pPr>
        <w:pStyle w:val="Heading1"/>
      </w:pPr>
      <w:r>
        <w:t xml:space="preserve">Key Takeaways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C" w:val="clear"/>
            <w:tcMar>
              <w:top w:type="dxa" w:w="80"/>
              <w:left w:type="dxa" w:w="120"/>
              <w:bottom w:type="dxa" w:w="80"/>
              <w:right w:type="dxa" w:w="120"/>
            </w:tcMar>
          </w:tcPr>
          <w:p>
            <w:pPr>
              <w:spacing w:after="120"/>
            </w:pPr>
            <w:r>
              <w:rPr>
                <w:b/>
                <w:bCs/>
                <w:color w:val="1E3A5F"/>
                <w:sz w:val="28"/>
                <w:szCs w:val="28"/>
              </w:rPr>
              <w:t xml:space="preserve">Remember These Points</w:t>
            </w:r>
          </w:p>
          <w:p>
            <w:pPr>
              <w:pStyle w:val="ListParagraph"/>
              <w:numPr>
                <w:ilvl w:val="0"/>
                <w:numId w:val="2"/>
              </w:numPr>
              <w:spacing w:after="80"/>
            </w:pPr>
            <w:r>
              <w:rPr>
                <w:b/>
                <w:bCs/>
              </w:rPr>
              <w:t xml:space="preserve">Data marts serve departments: </w:t>
            </w:r>
            <w:r>
              <w:t xml:space="preserve">Same data, different packaging.</w:t>
            </w:r>
          </w:p>
          <w:p>
            <w:pPr>
              <w:pStyle w:val="ListParagraph"/>
              <w:numPr>
                <w:ilvl w:val="0"/>
                <w:numId w:val="2"/>
              </w:numPr>
              <w:spacing w:after="80"/>
            </w:pPr>
            <w:r>
              <w:rPr>
                <w:b/>
                <w:bCs/>
              </w:rPr>
              <w:t xml:space="preserve">Dependent marts ensure consistency: </w:t>
            </w:r>
            <w:r>
              <w:t xml:space="preserve">Feed from warehouse, not source.</w:t>
            </w:r>
          </w:p>
          <w:p>
            <w:pPr>
              <w:pStyle w:val="ListParagraph"/>
              <w:numPr>
                <w:ilvl w:val="0"/>
                <w:numId w:val="2"/>
              </w:numPr>
              <w:spacing w:after="80"/>
            </w:pPr>
            <w:r>
              <w:rPr>
                <w:b/>
                <w:bCs/>
              </w:rPr>
              <w:t xml:space="preserve">Each mart has its own star schema: </w:t>
            </w:r>
            <w:r>
              <w:t xml:space="preserve">Tailored facts and dimensions.</w:t>
            </w:r>
          </w:p>
          <w:p>
            <w:pPr>
              <w:pStyle w:val="ListParagraph"/>
              <w:numPr>
                <w:ilvl w:val="0"/>
                <w:numId w:val="2"/>
              </w:numPr>
              <w:spacing w:after="80"/>
            </w:pPr>
            <w:r>
              <w:rPr>
                <w:b/>
                <w:bCs/>
              </w:rPr>
              <w:t xml:space="preserve">Aggregates improve performance: </w:t>
            </w:r>
            <w:r>
              <w:t xml:space="preserve">Pre-calculate common queries.</w:t>
            </w:r>
          </w:p>
          <w:p>
            <w:pPr>
              <w:pStyle w:val="ListParagraph"/>
              <w:numPr>
                <w:ilvl w:val="0"/>
                <w:numId w:val="2"/>
              </w:numPr>
              <w:spacing w:after="80"/>
            </w:pPr>
            <w:r>
              <w:rPr>
                <w:b/>
                <w:bCs/>
              </w:rPr>
              <w:t xml:space="preserve">Security is layered: </w:t>
            </w:r>
            <w:r>
              <w:t xml:space="preserve">Schema, column, and row-level access.</w:t>
            </w:r>
          </w:p>
          <w:p>
            <w:pPr>
              <w:pStyle w:val="ListParagraph"/>
              <w:numPr>
                <w:ilvl w:val="0"/>
                <w:numId w:val="2"/>
              </w:numPr>
              <w:spacing w:after="80"/>
            </w:pPr>
            <w:r>
              <w:rPr>
                <w:b/>
                <w:bCs/>
              </w:rPr>
              <w:t xml:space="preserve">Finance = profitability; </w:t>
            </w:r>
            <w:r>
              <w:t xml:space="preserve">Marketing = attribution; Risk = exposure; Ops = volume</w:t>
            </w:r>
          </w:p>
        </w:tc>
      </w:tr>
    </w:tbl>
    <w:p>
      <w:pPr>
        <w:spacing w:before="400"/>
      </w:pPr>
    </w:p>
    <w:p>
      <w:pPr>
        <w:pStyle w:val="Heading2"/>
      </w:pPr>
      <w:r>
        <w:t xml:space="preserve">The Complete Journey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pPr>
              <w:spacing w:after="120"/>
            </w:pPr>
            <w:r>
              <w:rPr>
                <w:b/>
                <w:bCs/>
                <w:color w:val="2E7D32"/>
                <w:sz w:val="24"/>
                <w:szCs w:val="24"/>
              </w:rPr>
              <w:t xml:space="preserve">From ERD to Executive Dashboard</w:t>
            </w:r>
          </w:p>
          <w:p>
            <w:r>
              <w:t xml:space="preserve">You've traced banking data through the complete analytics lifecycle: Enhanced ERD → OLTP vs OLAP → Dimensional Modeling → ETL Deep Dive → Data Marts. This is exactly how modern enterprises organize data. Whether you end up in finance, marketing, consulting, or tech—you now speak the language of data architecture.</w:t>
            </w:r>
          </w:p>
        </w:tc>
      </w:tr>
    </w:tbl>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40"/>
      <w:outlineLvl w:val="0"/>
    </w:pPr>
    <w:rPr>
      <w:rFonts w:ascii="Arial" w:cs="Arial" w:eastAsia="Arial" w:hAnsi="Arial"/>
      <w:b/>
      <w:bCs/>
      <w:color w:val="1E3A5F"/>
      <w:sz w:val="36"/>
      <w:szCs w:val="36"/>
    </w:rPr>
  </w:style>
  <w:style w:type="paragraph" w:styleId="Heading2">
    <w:name w:val="Heading 2"/>
    <w:basedOn w:val="Normal"/>
    <w:next w:val="Normal"/>
    <w:qFormat/>
    <w:pPr>
      <w:spacing w:before="280" w:after="160"/>
      <w:outlineLvl w:val="1"/>
    </w:pPr>
    <w:rPr>
      <w:rFonts w:ascii="Arial" w:cs="Arial" w:eastAsia="Arial" w:hAnsi="Arial"/>
      <w:b/>
      <w:bCs/>
      <w:color w:val="1E3A5F"/>
      <w:sz w:val="28"/>
      <w:szCs w:val="28"/>
    </w:rPr>
  </w:style>
  <w:style w:type="paragraph" w:styleId="Heading3">
    <w:name w:val="Heading 3"/>
    <w:basedOn w:val="Normal"/>
    <w:next w:val="Normal"/>
    <w:qFormat/>
    <w:pPr>
      <w:spacing w:before="240" w:after="120"/>
      <w:outlineLvl w:val="2"/>
    </w:pPr>
    <w:rPr>
      <w:rFonts w:ascii="Arial" w:cs="Arial" w:eastAsia="Arial" w:hAnsi="Arial"/>
      <w:b/>
      <w:bCs/>
      <w:color w:val="2E7D32"/>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2026-02-05T17:56:24.717Z</dcterms:created>
  <dcterms:modified xsi:type="dcterms:W3CDTF">2026-02-05T17:56:24.718Z</dcterms:modified>
</cp:coreProperties>
</file>

<file path=docProps/custom.xml><?xml version="1.0" encoding="utf-8"?>
<Properties xmlns="http://schemas.openxmlformats.org/officeDocument/2006/custom-properties" xmlns:vt="http://schemas.openxmlformats.org/officeDocument/2006/docPropsVTypes"/>
</file>