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pPr>
    </w:p>
    <w:p>
      <w:pPr>
        <w:jc w:val="center"/>
      </w:pPr>
      <w:r>
        <w:rPr>
          <w:rFonts w:ascii="Arial" w:cs="Arial" w:eastAsia="Arial" w:hAnsi="Arial"/>
          <w:color w:val="666666"/>
          <w:sz w:val="28"/>
          <w:szCs w:val="28"/>
        </w:rPr>
        <w:t xml:space="preserve">GMBA 612: Database Design &amp; SQL</w:t>
      </w:r>
    </w:p>
    <w:p>
      <w:pPr>
        <w:spacing w:before="400"/>
      </w:pPr>
    </w:p>
    <w:p>
      <w:pPr>
        <w:jc w:val="center"/>
      </w:pPr>
      <w:r>
        <w:rPr>
          <w:rFonts w:ascii="Arial" w:cs="Arial" w:eastAsia="Arial" w:hAnsi="Arial"/>
          <w:b/>
          <w:bCs/>
          <w:color w:val="1E3A5F"/>
          <w:sz w:val="48"/>
          <w:szCs w:val="48"/>
        </w:rPr>
        <w:t xml:space="preserve">Module: Dimensional Modeling</w:t>
      </w:r>
    </w:p>
    <w:p>
      <w:pPr>
        <w:spacing w:before="200"/>
      </w:pPr>
    </w:p>
    <w:p>
      <w:pPr>
        <w:jc w:val="center"/>
      </w:pPr>
      <w:r>
        <w:rPr>
          <w:rFonts w:ascii="Arial" w:cs="Arial" w:eastAsia="Arial" w:hAnsi="Arial"/>
          <w:color w:val="444444"/>
          <w:sz w:val="26"/>
          <w:szCs w:val="26"/>
        </w:rPr>
        <w:t xml:space="preserve">Facts, Dimensions, and Star Schemas for Analytics</w:t>
      </w:r>
    </w:p>
    <w:p>
      <w:pPr>
        <w:spacing w:before="800"/>
      </w:pPr>
    </w:p>
    <w:p>
      <w:pPr>
        <w:jc w:val="center"/>
      </w:pPr>
      <w:r>
        <w:rPr>
          <w:rFonts w:ascii="Arial" w:cs="Arial" w:eastAsia="Arial" w:hAnsi="Arial"/>
          <w:i/>
          <w:iCs/>
          <w:color w:val="2E7D32"/>
          <w:sz w:val="24"/>
          <w:szCs w:val="24"/>
        </w:rPr>
        <w:t xml:space="preserve">Case Study: First National Bank Data Warehouse</w:t>
      </w:r>
    </w:p>
    <w:p>
      <w:pPr>
        <w:spacing w:before="1600"/>
      </w:pPr>
    </w:p>
    <w:p>
      <w:pPr>
        <w:jc w:val="center"/>
      </w:pPr>
      <w:r>
        <w:rPr>
          <w:rFonts w:ascii="Arial" w:cs="Arial" w:eastAsia="Arial" w:hAnsi="Arial"/>
          <w:sz w:val="22"/>
          <w:szCs w:val="22"/>
        </w:rPr>
        <w:t xml:space="preserve">Gannon University</w:t>
      </w:r>
    </w:p>
    <w:p>
      <w:pPr>
        <w:jc w:val="center"/>
      </w:pPr>
      <w:r>
        <w:rPr>
          <w:rFonts w:ascii="Arial" w:cs="Arial" w:eastAsia="Arial" w:hAnsi="Arial"/>
          <w:sz w:val="22"/>
          <w:szCs w:val="22"/>
        </w:rPr>
        <w:t xml:space="preserve">MBA Business Analytics Program</w:t>
      </w:r>
    </w:p>
    <w:p>
      <w:r>
        <w:br w:type="page"/>
      </w:r>
    </w:p>
    <w:p>
      <w:pPr>
        <w:pStyle w:val="Heading1"/>
      </w:pPr>
      <w:r>
        <w:t xml:space="preserve">Module Overview</w:t>
      </w:r>
    </w:p>
    <w:p>
      <w:pPr>
        <w:spacing w:after="200"/>
      </w:pPr>
      <w:r>
        <w:t xml:space="preserve">In the previous module, we learned </w:t>
      </w:r>
      <w:r>
        <w:rPr>
          <w:b/>
          <w:bCs/>
        </w:rPr>
        <w:t xml:space="preserve">why</w:t>
      </w:r>
      <w:r>
        <w:t xml:space="preserve"> operational and analytical databases need different designs. Now we'll learn </w:t>
      </w:r>
      <w:r>
        <w:rPr>
          <w:b/>
          <w:bCs/>
        </w:rPr>
        <w:t xml:space="preserve">how</w:t>
      </w:r>
      <w:r>
        <w:t xml:space="preserve"> to design the analytical side. This technique—called </w:t>
      </w:r>
      <w:r>
        <w:rPr>
          <w:b/>
          <w:bCs/>
        </w:rPr>
        <w:t xml:space="preserve">dimensional modeling</w:t>
      </w:r>
      <w:r>
        <w:t xml:space="preserve">—is the foundation of data warehouse design and has been the industry standard for over 30 years.</w:t>
      </w:r>
    </w:p>
    <w:p>
      <w:pPr>
        <w:spacing w:after="200"/>
      </w:pPr>
      <w:r>
        <w:t xml:space="preserve">We'll transform First National Bank's normalized OLTP schema (with its elegant supertype/subtype structure) into a denormalized star schema optimized for the CFO's analytical queries.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4FC" w:val="clear"/>
            <w:tcMar>
              <w:top w:type="dxa" w:w="80"/>
              <w:left w:type="dxa" w:w="120"/>
              <w:bottom w:type="dxa" w:w="80"/>
              <w:right w:type="dxa" w:w="120"/>
            </w:tcMar>
          </w:tcPr>
          <w:p>
            <w:pPr>
              <w:spacing w:after="120"/>
            </w:pPr>
            <w:r>
              <w:rPr>
                <w:b/>
                <w:bCs/>
                <w:color w:val="1E3A5F"/>
                <w:sz w:val="24"/>
                <w:szCs w:val="24"/>
              </w:rPr>
              <w:t xml:space="preserve">Learning Objectives</w:t>
            </w:r>
          </w:p>
          <w:p>
            <w:pPr>
              <w:spacing w:after="60"/>
            </w:pPr>
            <w:r>
              <w:t xml:space="preserve">By the end of this module, you will be able to:</w:t>
            </w:r>
          </w:p>
          <w:p>
            <w:pPr>
              <w:pStyle w:val="ListParagraph"/>
              <w:numPr>
                <w:ilvl w:val="0"/>
                <w:numId w:val="2"/>
              </w:numPr>
            </w:pPr>
            <w:r>
              <w:t xml:space="preserve">Explain the difference between normalized and dimensional models</w:t>
            </w:r>
          </w:p>
          <w:p>
            <w:pPr>
              <w:pStyle w:val="ListParagraph"/>
              <w:numPr>
                <w:ilvl w:val="0"/>
                <w:numId w:val="2"/>
              </w:numPr>
            </w:pPr>
            <w:r>
              <w:t xml:space="preserve">Identify facts and dimensions in a business scenario</w:t>
            </w:r>
          </w:p>
          <w:p>
            <w:pPr>
              <w:pStyle w:val="ListParagraph"/>
              <w:numPr>
                <w:ilvl w:val="0"/>
                <w:numId w:val="2"/>
              </w:numPr>
            </w:pPr>
            <w:r>
              <w:t xml:space="preserve">Design a star schema for analytical queries</w:t>
            </w:r>
          </w:p>
          <w:p>
            <w:pPr>
              <w:pStyle w:val="ListParagraph"/>
              <w:numPr>
                <w:ilvl w:val="0"/>
                <w:numId w:val="2"/>
              </w:numPr>
            </w:pPr>
            <w:r>
              <w:t xml:space="preserve">Transform a normalized banking schema into dimensional tables</w:t>
            </w:r>
          </w:p>
          <w:p>
            <w:pPr>
              <w:pStyle w:val="ListParagraph"/>
              <w:numPr>
                <w:ilvl w:val="0"/>
                <w:numId w:val="2"/>
              </w:numPr>
            </w:pPr>
            <w:r>
              <w:t xml:space="preserve">Write analytical queries that leverage star schema design</w:t>
            </w:r>
          </w:p>
          <w:p>
            <w:pPr>
              <w:pStyle w:val="ListParagraph"/>
              <w:numPr>
                <w:ilvl w:val="0"/>
                <w:numId w:val="2"/>
              </w:numPr>
            </w:pPr>
            <w:r>
              <w:t xml:space="preserve">Recognize when to use star vs. snowflake schemas</w:t>
            </w:r>
          </w:p>
        </w:tc>
      </w:tr>
    </w:tbl>
    <w:p>
      <w:pPr>
        <w:spacing w:before="4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pPr>
              <w:spacing w:after="120"/>
            </w:pPr>
            <w:r>
              <w:rPr>
                <w:b/>
                <w:bCs/>
                <w:color w:val="2E7D32"/>
                <w:sz w:val="24"/>
                <w:szCs w:val="24"/>
              </w:rPr>
              <w:t xml:space="preserve">The Big Shift in Thinking</w:t>
            </w:r>
          </w:p>
          <w:p>
            <w:r>
              <w:t xml:space="preserve">Everything you learned about normalization—eliminating redundancy, splitting tables, using foreign keys—gets partially reversed here. In dimensional modeling, we intentionally denormalize. We duplicate data. We create wide, flat tables. Why? Because the goals are different. Normalization optimizes for data integrity during updates. Dimensional modeling optimizes for query speed during analysis. Same data, different purpose, different structure.</w:t>
            </w:r>
          </w:p>
        </w:tc>
      </w:tr>
    </w:tbl>
    <w:p>
      <w:r>
        <w:br w:type="page"/>
      </w:r>
    </w:p>
    <w:p>
      <w:pPr>
        <w:pStyle w:val="Heading1"/>
      </w:pPr>
      <w:r>
        <w:t xml:space="preserve">Part 1: The Building Blocks—Facts and Dimensions</w:t>
      </w:r>
    </w:p>
    <w:p>
      <w:pPr>
        <w:spacing w:after="200"/>
      </w:pPr>
      <w:r>
        <w:t xml:space="preserve">Dimensional modeling uses just two types of tables: </w:t>
      </w:r>
      <w:r>
        <w:rPr>
          <w:b/>
          <w:bCs/>
        </w:rPr>
        <w:t xml:space="preserve">fact tables</w:t>
      </w:r>
      <w:r>
        <w:t xml:space="preserve"> and </w:t>
      </w:r>
      <w:r>
        <w:rPr>
          <w:b/>
          <w:bCs/>
        </w:rPr>
        <w:t xml:space="preserve">dimension tables</w:t>
      </w:r>
      <w:r>
        <w:t xml:space="preserve">. That's it. Every data warehouse, from a small startup to Amazon's massive analytics platform, is built from these two building blocks.</w:t>
      </w:r>
    </w:p>
    <w:p>
      <w:pPr>
        <w:pStyle w:val="Heading2"/>
      </w:pPr>
      <w:r>
        <w:t xml:space="preserve">Fact Tables: The "What Happened"</w:t>
      </w:r>
    </w:p>
    <w:p>
      <w:pPr>
        <w:spacing w:after="200"/>
      </w:pPr>
      <w:r>
        <w:t xml:space="preserve">A fact table records </w:t>
      </w:r>
      <w:r>
        <w:rPr>
          <w:b/>
          <w:bCs/>
        </w:rPr>
        <w:t xml:space="preserve">business events</w:t>
      </w:r>
      <w:r>
        <w:t xml:space="preserve">—things that happened at a specific point in time that you want to measure and analyze. In banking:</w:t>
      </w:r>
    </w:p>
    <w:p>
      <w:pPr>
        <w:pStyle w:val="ListParagraph"/>
        <w:numPr>
          <w:ilvl w:val="0"/>
          <w:numId w:val="3"/>
        </w:numPr>
      </w:pPr>
      <w:r>
        <w:t xml:space="preserve">A deposit was made</w:t>
      </w:r>
    </w:p>
    <w:p>
      <w:pPr>
        <w:pStyle w:val="ListParagraph"/>
        <w:numPr>
          <w:ilvl w:val="0"/>
          <w:numId w:val="3"/>
        </w:numPr>
      </w:pPr>
      <w:r>
        <w:t xml:space="preserve">A withdrawal occurred</w:t>
      </w:r>
    </w:p>
    <w:p>
      <w:pPr>
        <w:pStyle w:val="ListParagraph"/>
        <w:numPr>
          <w:ilvl w:val="0"/>
          <w:numId w:val="3"/>
        </w:numPr>
      </w:pPr>
      <w:r>
        <w:t xml:space="preserve">An account was opened</w:t>
      </w:r>
    </w:p>
    <w:p>
      <w:pPr>
        <w:pStyle w:val="ListParagraph"/>
        <w:numPr>
          <w:ilvl w:val="0"/>
          <w:numId w:val="3"/>
        </w:numPr>
      </w:pPr>
      <w:r>
        <w:t xml:space="preserve">Interest was posted</w:t>
      </w:r>
    </w:p>
    <w:p>
      <w:pPr>
        <w:pStyle w:val="ListParagraph"/>
        <w:numPr>
          <w:ilvl w:val="0"/>
          <w:numId w:val="3"/>
        </w:numPr>
      </w:pPr>
      <w:r>
        <w:t xml:space="preserve">A fee was charged</w:t>
      </w:r>
    </w:p>
    <w:p>
      <w:pPr>
        <w:spacing w:before="200" w:after="200"/>
      </w:pPr>
    </w:p>
    <w:p>
      <w:pPr>
        <w:pStyle w:val="Heading3"/>
      </w:pPr>
      <w:r>
        <w:t xml:space="preserve">Fact Table Characteristics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7020"/>
      </w:tblGrid>
      <w:tr>
        <w:tc>
          <w:tcPr>
            <w:tcW w:type="dxa" w:w="234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Characteristic</w:t>
            </w:r>
          </w:p>
        </w:tc>
        <w:tc>
          <w:tcPr>
            <w:tcW w:type="dxa" w:w="702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Description</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Contains measures</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Numeric values you can aggregate: SUM(amount), COUNT(*), AVG(balance)</w:t>
            </w:r>
          </w:p>
        </w:tc>
      </w:tr>
      <w:tr>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Very large</w:t>
            </w:r>
          </w:p>
        </w:tc>
        <w:tc>
          <w:tcPr>
            <w:tcW w:type="dxa" w:w="70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Millions to billions of rows (every transaction ever)</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Narrow</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Few columns: mostly foreign keys + a few measures</w:t>
            </w:r>
          </w:p>
        </w:tc>
      </w:tr>
      <w:tr>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Grows constantly</w:t>
            </w:r>
          </w:p>
        </w:tc>
        <w:tc>
          <w:tcPr>
            <w:tcW w:type="dxa" w:w="70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New events added daily; rarely updated or deleted</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Grain defined</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One row = one specific event (one deposit, one withdrawal)</w:t>
            </w:r>
          </w:p>
        </w:tc>
      </w:tr>
    </w:tbl>
    <w:p>
      <w:pPr>
        <w:spacing w:before="400"/>
      </w:pPr>
    </w:p>
    <w:p>
      <w:pPr>
        <w:pStyle w:val="Heading2"/>
      </w:pPr>
      <w:r>
        <w:t xml:space="preserve">Dimension Tables: The "Who, What, Where, When"</w:t>
      </w:r>
    </w:p>
    <w:p>
      <w:pPr>
        <w:spacing w:after="200"/>
      </w:pPr>
      <w:r>
        <w:t xml:space="preserve">Dimension tables provide </w:t>
      </w:r>
      <w:r>
        <w:rPr>
          <w:b/>
          <w:bCs/>
        </w:rPr>
        <w:t xml:space="preserve">context</w:t>
      </w:r>
      <w:r>
        <w:t xml:space="preserve"> for the facts. They answer the questions: Who was involved? What type of thing was it? Where did it happen? When did it occur?</w:t>
      </w:r>
    </w:p>
    <w:p>
      <w:pPr>
        <w:pStyle w:val="ListParagraph"/>
        <w:numPr>
          <w:ilvl w:val="0"/>
          <w:numId w:val="3"/>
        </w:numPr>
      </w:pPr>
      <w:r>
        <w:rPr>
          <w:b/>
          <w:bCs/>
        </w:rPr>
        <w:t xml:space="preserve">Dim_Customer: </w:t>
      </w:r>
      <w:r>
        <w:t xml:space="preserve">Who made this transaction? (name, segment, join date)</w:t>
      </w:r>
    </w:p>
    <w:p>
      <w:pPr>
        <w:pStyle w:val="ListParagraph"/>
        <w:numPr>
          <w:ilvl w:val="0"/>
          <w:numId w:val="3"/>
        </w:numPr>
      </w:pPr>
      <w:r>
        <w:rPr>
          <w:b/>
          <w:bCs/>
        </w:rPr>
        <w:t xml:space="preserve">Dim_Account: </w:t>
      </w:r>
      <w:r>
        <w:t xml:space="preserve">What account was used? (type, status, branch)</w:t>
      </w:r>
    </w:p>
    <w:p>
      <w:pPr>
        <w:pStyle w:val="ListParagraph"/>
        <w:numPr>
          <w:ilvl w:val="0"/>
          <w:numId w:val="3"/>
        </w:numPr>
      </w:pPr>
      <w:r>
        <w:rPr>
          <w:b/>
          <w:bCs/>
        </w:rPr>
        <w:t xml:space="preserve">Dim_Branch: </w:t>
      </w:r>
      <w:r>
        <w:t xml:space="preserve">Where did it happen? (location, region, manager)</w:t>
      </w:r>
    </w:p>
    <w:p>
      <w:pPr>
        <w:pStyle w:val="ListParagraph"/>
        <w:numPr>
          <w:ilvl w:val="0"/>
          <w:numId w:val="3"/>
        </w:numPr>
      </w:pPr>
      <w:r>
        <w:rPr>
          <w:b/>
          <w:bCs/>
        </w:rPr>
        <w:t xml:space="preserve">Dim_Date: </w:t>
      </w:r>
      <w:r>
        <w:t xml:space="preserve">When did it happen? (day, month, quarter, holiday flag)</w:t>
      </w:r>
    </w:p>
    <w:p>
      <w:pPr>
        <w:spacing w:before="200" w:after="200"/>
      </w:pPr>
    </w:p>
    <w:p>
      <w:pPr>
        <w:pStyle w:val="Heading3"/>
      </w:pPr>
      <w:r>
        <w:t xml:space="preserve">Dimension Table Characteristics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7020"/>
      </w:tblGrid>
      <w:tr>
        <w:tc>
          <w:tcPr>
            <w:tcW w:type="dxa" w:w="234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Characteristic</w:t>
            </w:r>
          </w:p>
        </w:tc>
        <w:tc>
          <w:tcPr>
            <w:tcW w:type="dxa" w:w="702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Description</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Contains attributes</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Descriptive text for filtering and grouping: account_type, customer_name</w:t>
            </w:r>
          </w:p>
        </w:tc>
      </w:tr>
      <w:tr>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Relatively small</w:t>
            </w:r>
          </w:p>
        </w:tc>
        <w:tc>
          <w:tcPr>
            <w:tcW w:type="dxa" w:w="70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Thousands to millions of rows (accounts, customers, branches)</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Wide</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Many columns: all the descriptive attributes analysts might want</w:t>
            </w:r>
          </w:p>
        </w:tc>
      </w:tr>
      <w:tr>
        <w:tc>
          <w:tcPr>
            <w:tcW w:type="dxa" w:w="23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Changes slowly</w:t>
            </w:r>
          </w:p>
        </w:tc>
        <w:tc>
          <w:tcPr>
            <w:tcW w:type="dxa" w:w="70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Customer addresses change occasionally; account types rarely change</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Denormalized</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Flattened—no need to join to get customer's region</w:t>
            </w:r>
          </w:p>
        </w:tc>
      </w:tr>
    </w:tbl>
    <w:p>
      <w:pPr>
        <w:spacing w:before="4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3E5F5" w:val="clear"/>
            <w:tcMar>
              <w:top w:type="dxa" w:w="80"/>
              <w:left w:type="dxa" w:w="120"/>
              <w:bottom w:type="dxa" w:w="80"/>
              <w:right w:type="dxa" w:w="120"/>
            </w:tcMar>
          </w:tcPr>
          <w:p>
            <w:pPr>
              <w:spacing w:after="120"/>
            </w:pPr>
            <w:r>
              <w:rPr>
                <w:b/>
                <w:bCs/>
                <w:color w:val="7B1FA2"/>
                <w:sz w:val="24"/>
                <w:szCs w:val="24"/>
              </w:rPr>
              <w:t xml:space="preserve">Memory Device: Facts are Verbs, Dimensions are Nouns</w:t>
            </w:r>
          </w:p>
          <w:p>
            <w:r>
              <w:t xml:space="preserve">Facts capture actions (deposited, withdrew, transferred, opened). Dimensions describe things (customer, account, branch, date). When analyzing business data, you're always asking: "How much of this VERB happened, broken down by these NOUNS?" For example: "How much was DEPOSITED (fact), by ACCOUNT TYPE (dimension), by QUARTER (dimension)?"</w:t>
            </w:r>
          </w:p>
        </w:tc>
      </w:tr>
    </w:tbl>
    <w:p>
      <w:r>
        <w:br w:type="page"/>
      </w:r>
    </w:p>
    <w:p>
      <w:pPr>
        <w:pStyle w:val="Heading1"/>
      </w:pPr>
      <w:r>
        <w:t xml:space="preserve">Part 2: The Star Schema</w:t>
      </w:r>
    </w:p>
    <w:p>
      <w:pPr>
        <w:spacing w:after="200"/>
      </w:pPr>
      <w:r>
        <w:t xml:space="preserve">When you arrange a fact table in the center with dimension tables surrounding it, the diagram looks like a star—hence the name </w:t>
      </w:r>
      <w:r>
        <w:rPr>
          <w:b/>
          <w:bCs/>
        </w:rPr>
        <w:t xml:space="preserve">star schema</w:t>
      </w:r>
      <w:r>
        <w:t xml:space="preserve">. This is the most common dimensional modeling pattern.</w:t>
      </w:r>
    </w:p>
    <w:p>
      <w:pPr>
        <w:pStyle w:val="Heading2"/>
      </w:pPr>
      <w:r>
        <w:t xml:space="preserve">Anatomy of a Star Schema</w:t>
      </w:r>
    </w:p>
    <w:p>
      <w:pPr>
        <w:spacing w:after="200"/>
      </w:pPr>
      <w:r>
        <w:t xml:space="preserve">Here's First National Bank's transaction star schema: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AFAFA" w:val="clear"/>
            <w:tcMar>
              <w:top w:type="dxa" w:w="200"/>
              <w:left w:type="dxa" w:w="200"/>
              <w:bottom w:type="dxa" w:w="200"/>
              <w:right w:type="dxa" w:w="200"/>
            </w:tcMar>
          </w:tcPr>
          <w:p>
            <w:pPr>
              <w:spacing w:after="200"/>
              <w:jc w:val="center"/>
            </w:pPr>
            <w:r>
              <w:rPr>
                <w:b/>
                <w:bCs/>
                <w:color w:val="1E3A5F"/>
                <w:sz w:val="28"/>
                <w:szCs w:val="28"/>
              </w:rPr>
              <w:t xml:space="preserve">STAR SCHEMA: Banking Transactions</w:t>
            </w:r>
          </w:p>
          <w:p>
            <w:pPr>
              <w:spacing w:after="100"/>
              <w:jc w:val="center"/>
            </w:pPr>
            <w:r>
              <w:rPr>
                <w:b/>
                <w:bCs/>
                <w:color w:val="1976D2"/>
              </w:rPr>
              <w:t xml:space="preserve">Dim_Customer</w:t>
            </w:r>
            <w:r>
              <w:t xml:space="preserve">          </w:t>
            </w:r>
            <w:r>
              <w:rPr>
                <w:b/>
                <w:bCs/>
                <w:color w:val="1976D2"/>
              </w:rPr>
              <w:t xml:space="preserve">Dim_Date</w:t>
            </w:r>
          </w:p>
          <w:p>
            <w:pPr>
              <w:spacing w:after="60"/>
              <w:jc w:val="center"/>
            </w:pPr>
            <w:r>
              <w:rPr>
                <w:sz w:val="28"/>
                <w:szCs w:val="28"/>
              </w:rPr>
              <w:t xml:space="preserve">↘                    ↙</w:t>
            </w:r>
          </w:p>
          <w:p>
            <w:pPr>
              <w:spacing w:after="60"/>
              <w:jc w:val="center"/>
            </w:pPr>
            <w:r>
              <w:rPr>
                <w:b/>
                <w:bCs/>
                <w:color w:val="1976D2"/>
              </w:rPr>
              <w:t xml:space="preserve">Dim_Account</w:t>
            </w:r>
            <w:r>
              <w:t xml:space="preserve">  →  </w:t>
            </w:r>
            <w:r>
              <w:rPr>
                <w:b/>
                <w:bCs/>
                <w:color w:val="E53935"/>
                <w:sz w:val="26"/>
                <w:szCs w:val="26"/>
              </w:rPr>
              <w:t xml:space="preserve">[ FACT_TRANSACTION ]</w:t>
            </w:r>
            <w:r>
              <w:t xml:space="preserve">  ←  </w:t>
            </w:r>
            <w:r>
              <w:rPr>
                <w:b/>
                <w:bCs/>
                <w:color w:val="1976D2"/>
              </w:rPr>
              <w:t xml:space="preserve">Dim_Branch</w:t>
            </w:r>
          </w:p>
          <w:p>
            <w:pPr>
              <w:spacing w:after="100"/>
              <w:jc w:val="center"/>
            </w:pPr>
            <w:r>
              <w:rPr>
                <w:sz w:val="28"/>
                <w:szCs w:val="28"/>
              </w:rPr>
              <w:t xml:space="preserve">↗                    ↖</w:t>
            </w:r>
          </w:p>
          <w:p>
            <w:pPr>
              <w:jc w:val="center"/>
            </w:pPr>
            <w:r>
              <w:rPr>
                <w:b/>
                <w:bCs/>
                <w:color w:val="1976D2"/>
              </w:rPr>
              <w:t xml:space="preserve">Dim_Transaction_Type</w:t>
            </w:r>
            <w:r>
              <w:t xml:space="preserve">     </w:t>
            </w:r>
            <w:r>
              <w:rPr>
                <w:b/>
                <w:bCs/>
                <w:color w:val="1976D2"/>
              </w:rPr>
              <w:t xml:space="preserve">Dim_Channel</w:t>
            </w:r>
          </w:p>
        </w:tc>
      </w:tr>
    </w:tbl>
    <w:p>
      <w:pPr>
        <w:spacing w:before="300"/>
      </w:pPr>
    </w:p>
    <w:p>
      <w:pPr>
        <w:pStyle w:val="Heading3"/>
      </w:pPr>
      <w:r>
        <w:t xml:space="preserve">Why This Structure Works</w:t>
      </w:r>
    </w:p>
    <w:p>
      <w:pPr>
        <w:spacing w:after="200"/>
      </w:pPr>
      <w:r>
        <w:t xml:space="preserve">The star schema is optimized for the way analysts think and query:</w:t>
      </w:r>
    </w:p>
    <w:p>
      <w:pPr>
        <w:pStyle w:val="ListParagraph"/>
        <w:numPr>
          <w:ilvl w:val="0"/>
          <w:numId w:val="3"/>
        </w:numPr>
      </w:pPr>
      <w:r>
        <w:rPr>
          <w:b/>
          <w:bCs/>
        </w:rPr>
        <w:t xml:space="preserve">Simple joins: </w:t>
      </w:r>
      <w:r>
        <w:t xml:space="preserve">Every query follows the same pattern—join fact to dimensions</w:t>
      </w:r>
    </w:p>
    <w:p>
      <w:pPr>
        <w:pStyle w:val="ListParagraph"/>
        <w:numPr>
          <w:ilvl w:val="0"/>
          <w:numId w:val="3"/>
        </w:numPr>
      </w:pPr>
      <w:r>
        <w:rPr>
          <w:b/>
          <w:bCs/>
        </w:rPr>
        <w:t xml:space="preserve">Predictable performance: </w:t>
      </w:r>
      <w:r>
        <w:t xml:space="preserve">Query optimizers love star schemas</w:t>
      </w:r>
    </w:p>
    <w:p>
      <w:pPr>
        <w:pStyle w:val="ListParagraph"/>
        <w:numPr>
          <w:ilvl w:val="0"/>
          <w:numId w:val="3"/>
        </w:numPr>
      </w:pPr>
      <w:r>
        <w:rPr>
          <w:b/>
          <w:bCs/>
        </w:rPr>
        <w:t xml:space="preserve">Intuitive for business users: </w:t>
      </w:r>
      <w:r>
        <w:t xml:space="preserve">"Show me deposits by customer segment by month"</w:t>
      </w:r>
    </w:p>
    <w:p>
      <w:pPr>
        <w:pStyle w:val="ListParagraph"/>
        <w:numPr>
          <w:ilvl w:val="0"/>
          <w:numId w:val="3"/>
        </w:numPr>
      </w:pPr>
      <w:r>
        <w:rPr>
          <w:b/>
          <w:bCs/>
        </w:rPr>
        <w:t xml:space="preserve">BI tool friendly: </w:t>
      </w:r>
      <w:r>
        <w:t xml:space="preserve">Tableau, Power BI, Looker all assume star schemas</w:t>
      </w:r>
    </w:p>
    <w:p>
      <w:pPr>
        <w:spacing w:before="400"/>
      </w:pPr>
    </w:p>
    <w:p>
      <w:pPr>
        <w:pStyle w:val="Heading2"/>
      </w:pPr>
      <w:r>
        <w:t xml:space="preserve">The Grain: Most Important Decision</w:t>
      </w:r>
    </w:p>
    <w:p>
      <w:pPr>
        <w:spacing w:after="200"/>
      </w:pPr>
      <w:r>
        <w:t xml:space="preserve">The </w:t>
      </w:r>
      <w:r>
        <w:rPr>
          <w:b/>
          <w:bCs/>
        </w:rPr>
        <w:t xml:space="preserve">grain</w:t>
      </w:r>
      <w:r>
        <w:t xml:space="preserve"> defines what one row in your fact table represents. This is the single most important decision in dimensional modeling. Get it wrong, and your warehouse becomes a mess.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c>
          <w:tcPr>
            <w:tcW w:type="dxa" w:w="312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Possible Grain</w:t>
            </w:r>
          </w:p>
        </w:tc>
        <w:tc>
          <w:tcPr>
            <w:tcW w:type="dxa" w:w="624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One Row Represents...</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Transaction grain</w:t>
            </w:r>
          </w:p>
        </w:tc>
        <w:tc>
          <w:tcPr>
            <w:tcW w:type="dxa" w:w="62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One individual transaction (Sarah's $500 deposit)</w:t>
            </w:r>
          </w:p>
        </w:tc>
      </w:tr>
      <w:tr>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Daily snapshot</w:t>
            </w:r>
          </w:p>
        </w:tc>
        <w:tc>
          <w:tcPr>
            <w:tcW w:type="dxa" w:w="624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One account's balance at end of each day</w:t>
            </w:r>
          </w:p>
        </w:tc>
      </w:tr>
      <w:tr>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Monthly summary</w:t>
            </w:r>
          </w:p>
        </w:tc>
        <w:tc>
          <w:tcPr>
            <w:tcW w:type="dxa" w:w="62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One account's monthly totals (deposits, withdrawals, fees)</w:t>
            </w:r>
          </w:p>
        </w:tc>
      </w:tr>
    </w:tbl>
    <w:p>
      <w:pPr>
        <w:spacing w:before="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pPr>
              <w:spacing w:after="120"/>
            </w:pPr>
            <w:r>
              <w:rPr>
                <w:b/>
                <w:bCs/>
                <w:color w:val="F57C00"/>
                <w:sz w:val="24"/>
                <w:szCs w:val="24"/>
              </w:rPr>
              <w:t xml:space="preserve">Rule of Thumb: Start with the Finest Grain</w:t>
            </w:r>
          </w:p>
          <w:p>
            <w:r>
              <w:t xml:space="preserve">Choose the most detailed grain that makes business sense. You can always aggregate up (sum daily to monthly), but you can't disaggregate down. If you store monthly summaries, you can't answer "what happened on the 15th?" Our bank will use transaction grain—one row per transaction.</w:t>
            </w:r>
          </w:p>
        </w:tc>
      </w:tr>
    </w:tbl>
    <w:p>
      <w:r>
        <w:br w:type="page"/>
      </w:r>
    </w:p>
    <w:p>
      <w:pPr>
        <w:pStyle w:val="Heading1"/>
      </w:pPr>
      <w:r>
        <w:t xml:space="preserve">Part 3: Transforming First National Bank's Data</w:t>
      </w:r>
    </w:p>
    <w:p>
      <w:pPr>
        <w:spacing w:after="200"/>
      </w:pPr>
      <w:r>
        <w:t xml:space="preserve">Now let's transform the normalized OLTP schema we designed earlier into a dimensional model. Watch how the supertype/subtype structure flattens out.</w:t>
      </w:r>
    </w:p>
    <w:p>
      <w:pPr>
        <w:pStyle w:val="Heading2"/>
      </w:pPr>
      <w:r>
        <w:t xml:space="preserve">Before: The Normalized OLTP Schema</w:t>
      </w:r>
    </w:p>
    <w:p>
      <w:pPr>
        <w:spacing w:after="200"/>
      </w:pPr>
      <w:r>
        <w:t xml:space="preserve">Remember our operational design? Account as a supertype with Checking, Savings, CD, and Money Market as subtypes. To get all information about a checking account, we needed to JOIN: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263238" w:val="clear"/>
            <w:tcMar>
              <w:top w:type="dxa" w:w="120"/>
              <w:left w:type="dxa" w:w="200"/>
              <w:bottom w:type="dxa" w:w="120"/>
              <w:right w:type="dxa" w:w="200"/>
            </w:tcMar>
          </w:tcPr>
          <w:p>
            <w:r>
              <w:rPr>
                <w:rFonts w:ascii="Courier New" w:cs="Courier New" w:eastAsia="Courier New" w:hAnsi="Courier New"/>
                <w:color w:val="4CAF50"/>
                <w:sz w:val="20"/>
                <w:szCs w:val="20"/>
              </w:rPr>
              <w:t xml:space="preserve">-- OLTP: Getting checking account details requires joins</w:t>
            </w:r>
          </w:p>
          <w:p>
            <w:r>
              <w:rPr>
                <w:rFonts w:ascii="Courier New" w:cs="Courier New" w:eastAsia="Courier New" w:hAnsi="Courier New"/>
                <w:color w:val="FFFFFF"/>
                <w:sz w:val="20"/>
                <w:szCs w:val="20"/>
              </w:rPr>
              <w:t xml:space="preserve">SELECT a.Account_Number, a.Balance, a.Status,</w:t>
            </w:r>
          </w:p>
          <w:p>
            <w:r>
              <w:rPr>
                <w:rFonts w:ascii="Courier New" w:cs="Courier New" w:eastAsia="Courier New" w:hAnsi="Courier New"/>
                <w:color w:val="FFFFFF"/>
                <w:sz w:val="20"/>
                <w:szCs w:val="20"/>
              </w:rPr>
              <w:t xml:space="preserve">       c.Overdraft_Limit, c.Monthly_Fee,</w:t>
            </w:r>
          </w:p>
          <w:p>
            <w:r>
              <w:rPr>
                <w:rFonts w:ascii="Courier New" w:cs="Courier New" w:eastAsia="Courier New" w:hAnsi="Courier New"/>
                <w:color w:val="FFFFFF"/>
                <w:sz w:val="20"/>
                <w:szCs w:val="20"/>
              </w:rPr>
              <w:t xml:space="preserve">       cust.Customer_Name, cust.Segment,</w:t>
            </w:r>
          </w:p>
          <w:p>
            <w:r>
              <w:rPr>
                <w:rFonts w:ascii="Courier New" w:cs="Courier New" w:eastAsia="Courier New" w:hAnsi="Courier New"/>
                <w:color w:val="FFFFFF"/>
                <w:sz w:val="20"/>
                <w:szCs w:val="20"/>
              </w:rPr>
              <w:t xml:space="preserve">       b.Branch_Name, b.Region</w:t>
            </w:r>
          </w:p>
          <w:p>
            <w:r>
              <w:rPr>
                <w:rFonts w:ascii="Courier New" w:cs="Courier New" w:eastAsia="Courier New" w:hAnsi="Courier New"/>
                <w:color w:val="FFFFFF"/>
                <w:sz w:val="20"/>
                <w:szCs w:val="20"/>
              </w:rPr>
              <w:t xml:space="preserve">FROM Account a</w:t>
            </w:r>
          </w:p>
          <w:p>
            <w:r>
              <w:rPr>
                <w:rFonts w:ascii="Courier New" w:cs="Courier New" w:eastAsia="Courier New" w:hAnsi="Courier New"/>
                <w:color w:val="FFFFFF"/>
                <w:sz w:val="20"/>
                <w:szCs w:val="20"/>
              </w:rPr>
              <w:t xml:space="preserve">JOIN Checking_Account c ON a.Account_ID = c.Account_ID</w:t>
            </w:r>
          </w:p>
          <w:p>
            <w:r>
              <w:rPr>
                <w:rFonts w:ascii="Courier New" w:cs="Courier New" w:eastAsia="Courier New" w:hAnsi="Courier New"/>
                <w:color w:val="FFFFFF"/>
                <w:sz w:val="20"/>
                <w:szCs w:val="20"/>
              </w:rPr>
              <w:t xml:space="preserve">JOIN Customer cust ON a.Customer_ID = cust.Customer_ID</w:t>
            </w:r>
          </w:p>
          <w:p>
            <w:r>
              <w:rPr>
                <w:rFonts w:ascii="Courier New" w:cs="Courier New" w:eastAsia="Courier New" w:hAnsi="Courier New"/>
                <w:color w:val="FFFFFF"/>
                <w:sz w:val="20"/>
                <w:szCs w:val="20"/>
              </w:rPr>
              <w:t xml:space="preserve">JOIN Branch b ON a.Branch_ID = b.Branch_ID</w:t>
            </w:r>
          </w:p>
          <w:p>
            <w:r>
              <w:rPr>
                <w:rFonts w:ascii="Courier New" w:cs="Courier New" w:eastAsia="Courier New" w:hAnsi="Courier New"/>
                <w:color w:val="FFFFFF"/>
                <w:sz w:val="20"/>
                <w:szCs w:val="20"/>
              </w:rPr>
              <w:t xml:space="preserve">WHERE a.Account_ID = 12345;</w:t>
            </w:r>
          </w:p>
        </w:tc>
      </w:tr>
    </w:tbl>
    <w:p>
      <w:pPr>
        <w:spacing w:before="200"/>
      </w:pPr>
      <w:r>
        <w:t xml:space="preserve">Four tables, three joins, just to get basic account information. This is great for data integrity but terrible for analytical queries that need to scan millions of accounts.</w:t>
      </w:r>
    </w:p>
    <w:p>
      <w:pPr>
        <w:spacing w:before="400"/>
      </w:pPr>
    </w:p>
    <w:p>
      <w:pPr>
        <w:pStyle w:val="Heading2"/>
      </w:pPr>
      <w:r>
        <w:t xml:space="preserve">After: The Dimensional Model</w:t>
      </w:r>
    </w:p>
    <w:p>
      <w:pPr>
        <w:spacing w:after="200"/>
      </w:pPr>
      <w:r>
        <w:t xml:space="preserve">In the warehouse, we </w:t>
      </w:r>
      <w:r>
        <w:rPr>
          <w:b/>
          <w:bCs/>
        </w:rPr>
        <w:t xml:space="preserve">flatten</w:t>
      </w:r>
      <w:r>
        <w:t xml:space="preserve"> the account information into a single dimension table. No more supertype/subtype joins needed:</w:t>
      </w:r>
    </w:p>
    <w:p>
      <w:pPr>
        <w:pStyle w:val="Heading3"/>
      </w:pPr>
      <w:r>
        <w:t xml:space="preserve">Dim_Account (The Flattened Account Dimension)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730"/>
        <w:gridCol w:w="1950"/>
        <w:gridCol w:w="4680"/>
      </w:tblGrid>
      <w:tr>
        <w:tc>
          <w:tcPr>
            <w:tcW w:type="dxa" w:w="273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Column</w:t>
            </w:r>
          </w:p>
        </w:tc>
        <w:tc>
          <w:tcPr>
            <w:tcW w:type="dxa" w:w="195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Source</w:t>
            </w:r>
          </w:p>
        </w:tc>
        <w:tc>
          <w:tcPr>
            <w:tcW w:type="dxa" w:w="468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Notes</w:t>
            </w:r>
          </w:p>
        </w:tc>
      </w:tr>
      <w:tr>
        <w:tc>
          <w:tcPr>
            <w:tcW w:type="dxa" w:w="273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Account_Key (PK)</w:t>
            </w:r>
          </w:p>
        </w:tc>
        <w:tc>
          <w:tcPr>
            <w:tcW w:type="dxa" w:w="19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Generated</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Surrogate key (warehouse-specific ID)</w:t>
            </w:r>
          </w:p>
        </w:tc>
      </w:tr>
      <w:tr>
        <w:tc>
          <w:tcPr>
            <w:tcW w:type="dxa" w:w="273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Account_ID</w:t>
            </w:r>
          </w:p>
        </w:tc>
        <w:tc>
          <w:tcPr>
            <w:tcW w:type="dxa" w:w="195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Account</w:t>
            </w:r>
          </w:p>
        </w:tc>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Natural key from source system</w:t>
            </w:r>
          </w:p>
        </w:tc>
      </w:tr>
      <w:tr>
        <w:tc>
          <w:tcPr>
            <w:tcW w:type="dxa" w:w="273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Account_Number</w:t>
            </w:r>
          </w:p>
        </w:tc>
        <w:tc>
          <w:tcPr>
            <w:tcW w:type="dxa" w:w="19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Account</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Customer-facing number</w:t>
            </w:r>
          </w:p>
        </w:tc>
      </w:tr>
      <w:tr>
        <w:tc>
          <w:tcPr>
            <w:tcW w:type="dxa" w:w="273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Account_Type</w:t>
            </w:r>
          </w:p>
        </w:tc>
        <w:tc>
          <w:tcPr>
            <w:tcW w:type="dxa" w:w="195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Account</w:t>
            </w:r>
          </w:p>
        </w:tc>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CHECKING, SAVINGS, CD, MONEY_MARKET</w:t>
            </w:r>
          </w:p>
        </w:tc>
      </w:tr>
      <w:tr>
        <w:tc>
          <w:tcPr>
            <w:tcW w:type="dxa" w:w="273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Account_Type_Desc</w:t>
            </w:r>
          </w:p>
        </w:tc>
        <w:tc>
          <w:tcPr>
            <w:tcW w:type="dxa" w:w="19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Lookup</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"Personal Checking", "High-Yield Savings"</w:t>
            </w:r>
          </w:p>
        </w:tc>
      </w:tr>
      <w:tr>
        <w:tc>
          <w:tcPr>
            <w:tcW w:type="dxa" w:w="273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Date_Opened</w:t>
            </w:r>
          </w:p>
        </w:tc>
        <w:tc>
          <w:tcPr>
            <w:tcW w:type="dxa" w:w="195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Account</w:t>
            </w:r>
          </w:p>
        </w:tc>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When account was created</w:t>
            </w:r>
          </w:p>
        </w:tc>
      </w:tr>
      <w:tr>
        <w:tc>
          <w:tcPr>
            <w:tcW w:type="dxa" w:w="273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Current_Status</w:t>
            </w:r>
          </w:p>
        </w:tc>
        <w:tc>
          <w:tcPr>
            <w:tcW w:type="dxa" w:w="19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Account</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Active, Closed, Frozen</w:t>
            </w:r>
          </w:p>
        </w:tc>
      </w:tr>
      <w:tr>
        <w:tc>
          <w:tcPr>
            <w:tcW w:type="dxa" w:w="273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Overdraft_Limit</w:t>
            </w:r>
          </w:p>
        </w:tc>
        <w:tc>
          <w:tcPr>
            <w:tcW w:type="dxa" w:w="195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Checking_Account</w:t>
            </w:r>
          </w:p>
        </w:tc>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NULL for non-checking accounts</w:t>
            </w:r>
          </w:p>
        </w:tc>
      </w:tr>
      <w:tr>
        <w:tc>
          <w:tcPr>
            <w:tcW w:type="dxa" w:w="273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Interest_Rate</w:t>
            </w:r>
          </w:p>
        </w:tc>
        <w:tc>
          <w:tcPr>
            <w:tcW w:type="dxa" w:w="19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Savings/CD/MM</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NULL for checking accounts</w:t>
            </w:r>
          </w:p>
        </w:tc>
      </w:tr>
      <w:tr>
        <w:tc>
          <w:tcPr>
            <w:tcW w:type="dxa" w:w="273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Term_Months</w:t>
            </w:r>
          </w:p>
        </w:tc>
        <w:tc>
          <w:tcPr>
            <w:tcW w:type="dxa" w:w="195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CD_Account</w:t>
            </w:r>
          </w:p>
        </w:tc>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NULL for non-CD accounts</w:t>
            </w:r>
          </w:p>
        </w:tc>
      </w:tr>
      <w:tr>
        <w:tc>
          <w:tcPr>
            <w:tcW w:type="dxa" w:w="273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Branch_Name</w:t>
            </w:r>
          </w:p>
        </w:tc>
        <w:tc>
          <w:tcPr>
            <w:tcW w:type="dxa" w:w="19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Branch</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Denormalized from Branch table</w:t>
            </w:r>
          </w:p>
        </w:tc>
      </w:tr>
      <w:tr>
        <w:tc>
          <w:tcPr>
            <w:tcW w:type="dxa" w:w="273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Branch_Region</w:t>
            </w:r>
          </w:p>
        </w:tc>
        <w:tc>
          <w:tcPr>
            <w:tcW w:type="dxa" w:w="195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Branch</w:t>
            </w:r>
          </w:p>
        </w:tc>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Denormalized—no join needed</w:t>
            </w:r>
          </w:p>
        </w:tc>
      </w:tr>
    </w:tbl>
    <w:p>
      <w:pPr>
        <w:spacing w:before="3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pPr>
              <w:spacing w:after="120"/>
            </w:pPr>
            <w:r>
              <w:rPr>
                <w:b/>
                <w:bCs/>
                <w:color w:val="2E7D32"/>
                <w:sz w:val="24"/>
                <w:szCs w:val="24"/>
              </w:rPr>
              <w:t xml:space="preserve">Notice the Denormalization</w:t>
            </w:r>
          </w:p>
          <w:p>
            <w:r>
              <w:t xml:space="preserve">Branch_Name and Branch_Region are now columns IN the account dimension. In the OLTP system, these lived in a separate Branch table to avoid redundancy. In the warehouse, we duplicate this data across every account row because query speed matters more than storage efficiency. When an analyst filters by region, no join is required.</w:t>
            </w:r>
          </w:p>
        </w:tc>
      </w:tr>
    </w:tbl>
    <w:p>
      <w:r>
        <w:br w:type="page"/>
      </w:r>
    </w:p>
    <w:p>
      <w:pPr>
        <w:pStyle w:val="Heading2"/>
      </w:pPr>
      <w:r>
        <w:t xml:space="preserve">Fact_Transaction (The Transaction Fact Table)</w:t>
      </w:r>
    </w:p>
    <w:p>
      <w:pPr>
        <w:spacing w:after="200"/>
      </w:pPr>
      <w:r>
        <w:t xml:space="preserve">This table captures every banking transaction. Notice how narrow it is—mostly keys pointing to dimensions, plus the measures we want to aggregate.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730"/>
        <w:gridCol w:w="1950"/>
        <w:gridCol w:w="4680"/>
      </w:tblGrid>
      <w:tr>
        <w:tc>
          <w:tcPr>
            <w:tcW w:type="dxa" w:w="2730"/>
            <w:tcBorders>
              <w:top w:val="single" w:color="CCCCCC" w:sz="1"/>
              <w:left w:val="single" w:color="CCCCCC" w:sz="1"/>
              <w:bottom w:val="single" w:color="CCCCCC" w:sz="1"/>
              <w:right w:val="single" w:color="CCCCCC" w:sz="1"/>
            </w:tcBorders>
            <w:shd w:fill="E53935" w:val="clear"/>
            <w:tcMar>
              <w:top w:type="dxa" w:w="80"/>
              <w:left w:type="dxa" w:w="120"/>
              <w:bottom w:type="dxa" w:w="80"/>
              <w:right w:type="dxa" w:w="120"/>
            </w:tcMar>
          </w:tcPr>
          <w:p>
            <w:r>
              <w:rPr>
                <w:b/>
                <w:bCs/>
                <w:color w:val="FFFFFF"/>
              </w:rPr>
              <w:t xml:space="preserve">Column</w:t>
            </w:r>
          </w:p>
        </w:tc>
        <w:tc>
          <w:tcPr>
            <w:tcW w:type="dxa" w:w="1950"/>
            <w:tcBorders>
              <w:top w:val="single" w:color="CCCCCC" w:sz="1"/>
              <w:left w:val="single" w:color="CCCCCC" w:sz="1"/>
              <w:bottom w:val="single" w:color="CCCCCC" w:sz="1"/>
              <w:right w:val="single" w:color="CCCCCC" w:sz="1"/>
            </w:tcBorders>
            <w:shd w:fill="E53935" w:val="clear"/>
            <w:tcMar>
              <w:top w:type="dxa" w:w="80"/>
              <w:left w:type="dxa" w:w="120"/>
              <w:bottom w:type="dxa" w:w="80"/>
              <w:right w:type="dxa" w:w="120"/>
            </w:tcMar>
          </w:tcPr>
          <w:p>
            <w:r>
              <w:rPr>
                <w:b/>
                <w:bCs/>
                <w:color w:val="FFFFFF"/>
              </w:rPr>
              <w:t xml:space="preserve">Type</w:t>
            </w:r>
          </w:p>
        </w:tc>
        <w:tc>
          <w:tcPr>
            <w:tcW w:type="dxa" w:w="4680"/>
            <w:tcBorders>
              <w:top w:val="single" w:color="CCCCCC" w:sz="1"/>
              <w:left w:val="single" w:color="CCCCCC" w:sz="1"/>
              <w:bottom w:val="single" w:color="CCCCCC" w:sz="1"/>
              <w:right w:val="single" w:color="CCCCCC" w:sz="1"/>
            </w:tcBorders>
            <w:shd w:fill="E53935" w:val="clear"/>
            <w:tcMar>
              <w:top w:type="dxa" w:w="80"/>
              <w:left w:type="dxa" w:w="120"/>
              <w:bottom w:type="dxa" w:w="80"/>
              <w:right w:type="dxa" w:w="120"/>
            </w:tcMar>
          </w:tcPr>
          <w:p>
            <w:r>
              <w:rPr>
                <w:b/>
                <w:bCs/>
                <w:color w:val="FFFFFF"/>
              </w:rPr>
              <w:t xml:space="preserve">Description</w:t>
            </w:r>
          </w:p>
        </w:tc>
      </w:tr>
      <w:tr>
        <w:tc>
          <w:tcPr>
            <w:tcW w:type="dxa" w:w="273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Transaction_Key (PK)</w:t>
            </w:r>
          </w:p>
        </w:tc>
        <w:tc>
          <w:tcPr>
            <w:tcW w:type="dxa" w:w="19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Surrogate</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Warehouse-generated unique ID</w:t>
            </w:r>
          </w:p>
        </w:tc>
      </w:tr>
      <w:tr>
        <w:tc>
          <w:tcPr>
            <w:tcW w:type="dxa" w:w="273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Date_Key (FK)</w:t>
            </w:r>
          </w:p>
        </w:tc>
        <w:tc>
          <w:tcPr>
            <w:tcW w:type="dxa" w:w="195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Foreign Key</w:t>
            </w:r>
          </w:p>
        </w:tc>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Links to Dim_Date</w:t>
            </w:r>
          </w:p>
        </w:tc>
      </w:tr>
      <w:tr>
        <w:tc>
          <w:tcPr>
            <w:tcW w:type="dxa" w:w="273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Account_Key (FK)</w:t>
            </w:r>
          </w:p>
        </w:tc>
        <w:tc>
          <w:tcPr>
            <w:tcW w:type="dxa" w:w="19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Foreign Key</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Links to Dim_Account</w:t>
            </w:r>
          </w:p>
        </w:tc>
      </w:tr>
      <w:tr>
        <w:tc>
          <w:tcPr>
            <w:tcW w:type="dxa" w:w="273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Customer_Key (FK)</w:t>
            </w:r>
          </w:p>
        </w:tc>
        <w:tc>
          <w:tcPr>
            <w:tcW w:type="dxa" w:w="195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Foreign Key</w:t>
            </w:r>
          </w:p>
        </w:tc>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Links to Dim_Customer</w:t>
            </w:r>
          </w:p>
        </w:tc>
      </w:tr>
      <w:tr>
        <w:tc>
          <w:tcPr>
            <w:tcW w:type="dxa" w:w="273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Branch_Key (FK)</w:t>
            </w:r>
          </w:p>
        </w:tc>
        <w:tc>
          <w:tcPr>
            <w:tcW w:type="dxa" w:w="19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Foreign Key</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Links to Dim_Branch (where transaction occurred)</w:t>
            </w:r>
          </w:p>
        </w:tc>
      </w:tr>
      <w:tr>
        <w:tc>
          <w:tcPr>
            <w:tcW w:type="dxa" w:w="273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color w:val="000000"/>
              </w:rPr>
              <w:t xml:space="preserve">Transaction_Type_Key (FK)</w:t>
            </w:r>
          </w:p>
        </w:tc>
        <w:tc>
          <w:tcPr>
            <w:tcW w:type="dxa" w:w="195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Foreign Key</w:t>
            </w:r>
          </w:p>
        </w:tc>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Links to Dim_Transaction_Type</w:t>
            </w:r>
          </w:p>
        </w:tc>
      </w:tr>
      <w:tr>
        <w:tc>
          <w:tcPr>
            <w:tcW w:type="dxa" w:w="273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Channel_Key (FK)</w:t>
            </w:r>
          </w:p>
        </w:tc>
        <w:tc>
          <w:tcPr>
            <w:tcW w:type="dxa" w:w="19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Foreign Key</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Links to Dim_Channel (ATM, Mobile, Teller)</w:t>
            </w:r>
          </w:p>
        </w:tc>
      </w:tr>
      <w:tr>
        <w:tc>
          <w:tcPr>
            <w:tcW w:type="dxa" w:w="273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rPr>
                <w:b/>
                <w:bCs/>
                <w:color w:val="E53935"/>
              </w:rPr>
              <w:t xml:space="preserve">Transaction_Amount</w:t>
            </w:r>
          </w:p>
        </w:tc>
        <w:tc>
          <w:tcPr>
            <w:tcW w:type="dxa" w:w="195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rPr>
                <w:b/>
                <w:bCs/>
                <w:color w:val="E53935"/>
              </w:rPr>
              <w:t xml:space="preserve">MEASURE</w:t>
            </w:r>
          </w:p>
        </w:tc>
        <w:tc>
          <w:tcPr>
            <w:tcW w:type="dxa" w:w="468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t xml:space="preserve">Dollar amount (positive or negative)</w:t>
            </w:r>
          </w:p>
        </w:tc>
      </w:tr>
      <w:tr>
        <w:tc>
          <w:tcPr>
            <w:tcW w:type="dxa" w:w="273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rPr>
                <w:b/>
                <w:bCs/>
                <w:color w:val="E53935"/>
              </w:rPr>
              <w:t xml:space="preserve">Transaction_Count</w:t>
            </w:r>
          </w:p>
        </w:tc>
        <w:tc>
          <w:tcPr>
            <w:tcW w:type="dxa" w:w="195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rPr>
                <w:b/>
                <w:bCs/>
                <w:color w:val="E53935"/>
              </w:rPr>
              <w:t xml:space="preserve">MEASURE</w:t>
            </w:r>
          </w:p>
        </w:tc>
        <w:tc>
          <w:tcPr>
            <w:tcW w:type="dxa" w:w="468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t xml:space="preserve">Always 1 (for counting transactions)</w:t>
            </w:r>
          </w:p>
        </w:tc>
      </w:tr>
      <w:tr>
        <w:tc>
          <w:tcPr>
            <w:tcW w:type="dxa" w:w="273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rPr>
                <w:b/>
                <w:bCs/>
                <w:color w:val="E53935"/>
              </w:rPr>
              <w:t xml:space="preserve">Fee_Amount</w:t>
            </w:r>
          </w:p>
        </w:tc>
        <w:tc>
          <w:tcPr>
            <w:tcW w:type="dxa" w:w="195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rPr>
                <w:b/>
                <w:bCs/>
                <w:color w:val="E53935"/>
              </w:rPr>
              <w:t xml:space="preserve">MEASURE</w:t>
            </w:r>
          </w:p>
        </w:tc>
        <w:tc>
          <w:tcPr>
            <w:tcW w:type="dxa" w:w="4680"/>
            <w:tcBorders>
              <w:top w:val="single" w:color="CCCCCC" w:sz="1"/>
              <w:left w:val="single" w:color="CCCCCC" w:sz="1"/>
              <w:bottom w:val="single" w:color="CCCCCC" w:sz="1"/>
              <w:right w:val="single" w:color="CCCCCC" w:sz="1"/>
            </w:tcBorders>
            <w:shd w:fill="FFEBEE" w:val="clear"/>
            <w:tcMar>
              <w:top w:type="dxa" w:w="80"/>
              <w:left w:type="dxa" w:w="120"/>
              <w:bottom w:type="dxa" w:w="80"/>
              <w:right w:type="dxa" w:w="120"/>
            </w:tcMar>
          </w:tcPr>
          <w:p>
            <w:r>
              <w:t xml:space="preserve">Any fees associated with transaction</w:t>
            </w:r>
          </w:p>
        </w:tc>
      </w:tr>
    </w:tbl>
    <w:p>
      <w:pPr>
        <w:spacing w:before="3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4FC" w:val="clear"/>
            <w:tcMar>
              <w:top w:type="dxa" w:w="80"/>
              <w:left w:type="dxa" w:w="120"/>
              <w:bottom w:type="dxa" w:w="80"/>
              <w:right w:type="dxa" w:w="120"/>
            </w:tcMar>
          </w:tcPr>
          <w:p>
            <w:pPr>
              <w:spacing w:after="120"/>
            </w:pPr>
            <w:r>
              <w:rPr>
                <w:b/>
                <w:bCs/>
                <w:color w:val="1E3A5F"/>
                <w:sz w:val="24"/>
                <w:szCs w:val="24"/>
              </w:rPr>
              <w:t xml:space="preserve">Surrogate Keys vs. Natural Keys</w:t>
            </w:r>
          </w:p>
          <w:p>
            <w:pPr>
              <w:spacing w:after="80"/>
            </w:pPr>
            <w:r>
              <w:t xml:space="preserve">Notice we use </w:t>
            </w:r>
            <w:r>
              <w:rPr>
                <w:b/>
                <w:bCs/>
              </w:rPr>
              <w:t xml:space="preserve">Account_Key</w:t>
            </w:r>
            <w:r>
              <w:t xml:space="preserve"> (warehouse-generated) instead of </w:t>
            </w:r>
            <w:r>
              <w:rPr>
                <w:b/>
                <w:bCs/>
              </w:rPr>
              <w:t xml:space="preserve">Account_ID</w:t>
            </w:r>
            <w:r>
              <w:t xml:space="preserve"> (from OLTP). Why?</w:t>
            </w:r>
          </w:p>
          <w:p>
            <w:pPr>
              <w:pStyle w:val="ListParagraph"/>
              <w:numPr>
                <w:ilvl w:val="0"/>
                <w:numId w:val="3"/>
              </w:numPr>
            </w:pPr>
            <w:r>
              <w:rPr>
                <w:b/>
                <w:bCs/>
              </w:rPr>
              <w:t xml:space="preserve">History tracking: </w:t>
            </w:r>
            <w:r>
              <w:t xml:space="preserve">If an account changes (new interest rate), we can keep both versions with different keys</w:t>
            </w:r>
          </w:p>
          <w:p>
            <w:pPr>
              <w:pStyle w:val="ListParagraph"/>
              <w:numPr>
                <w:ilvl w:val="0"/>
                <w:numId w:val="3"/>
              </w:numPr>
            </w:pPr>
            <w:r>
              <w:rPr>
                <w:b/>
                <w:bCs/>
              </w:rPr>
              <w:t xml:space="preserve">Source independence: </w:t>
            </w:r>
            <w:r>
              <w:t xml:space="preserve">If we merge with another bank, their Account_IDs won't conflict</w:t>
            </w:r>
          </w:p>
          <w:p>
            <w:pPr>
              <w:pStyle w:val="ListParagraph"/>
              <w:numPr>
                <w:ilvl w:val="0"/>
                <w:numId w:val="3"/>
              </w:numPr>
            </w:pPr>
            <w:r>
              <w:rPr>
                <w:b/>
                <w:bCs/>
              </w:rPr>
              <w:t xml:space="preserve">Performance: </w:t>
            </w:r>
            <w:r>
              <w:t xml:space="preserve">Integer keys join faster than VARCHAR keys</w:t>
            </w:r>
          </w:p>
        </w:tc>
      </w:tr>
    </w:tbl>
    <w:p>
      <w:r>
        <w:br w:type="page"/>
      </w:r>
    </w:p>
    <w:p>
      <w:pPr>
        <w:pStyle w:val="Heading1"/>
      </w:pPr>
      <w:r>
        <w:t xml:space="preserve">Part 4: The Date Dimension—A Special Case</w:t>
      </w:r>
    </w:p>
    <w:p>
      <w:pPr>
        <w:spacing w:after="200"/>
      </w:pPr>
      <w:r>
        <w:t xml:space="preserve">Every data warehouse needs a date dimension. It's so common that it's often the first dimension you build. The date dimension enables time-based analysis that would be impossible with just a date column.</w:t>
      </w:r>
    </w:p>
    <w:p>
      <w:pPr>
        <w:pStyle w:val="Heading2"/>
      </w:pPr>
      <w:r>
        <w:t xml:space="preserve">Dim_Date Structure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730"/>
        <w:gridCol w:w="3120"/>
        <w:gridCol w:w="3510"/>
      </w:tblGrid>
      <w:tr>
        <w:tc>
          <w:tcPr>
            <w:tcW w:type="dxa" w:w="273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Column</w:t>
            </w:r>
          </w:p>
        </w:tc>
        <w:tc>
          <w:tcPr>
            <w:tcW w:type="dxa" w:w="312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Example</w:t>
            </w:r>
          </w:p>
        </w:tc>
        <w:tc>
          <w:tcPr>
            <w:tcW w:type="dxa" w:w="351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Why It's Useful</w:t>
            </w:r>
          </w:p>
        </w:tc>
      </w:tr>
      <w:tr>
        <w:tc>
          <w:tcPr>
            <w:tcW w:type="dxa" w:w="273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color w:val="000000"/>
              </w:rPr>
              <w:t xml:space="preserve">Date_Key (PK)</w:t>
            </w:r>
          </w:p>
        </w:tc>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20241115</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Integer key (YYYYMMDD format)</w:t>
            </w:r>
          </w:p>
        </w:tc>
      </w:tr>
      <w:tr>
        <w:tc>
          <w:tcPr>
            <w:tcW w:type="dxa" w:w="273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Full_Date</w:t>
            </w:r>
          </w:p>
        </w:tc>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2024-11-15</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Actual date value</w:t>
            </w:r>
          </w:p>
        </w:tc>
      </w:tr>
      <w:tr>
        <w:tc>
          <w:tcPr>
            <w:tcW w:type="dxa" w:w="273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Day_of_Week</w:t>
            </w:r>
          </w:p>
        </w:tc>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Friday</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Filter weekdays vs weekends</w:t>
            </w:r>
          </w:p>
        </w:tc>
      </w:tr>
      <w:tr>
        <w:tc>
          <w:tcPr>
            <w:tcW w:type="dxa" w:w="273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Day_of_Week_Num</w:t>
            </w:r>
          </w:p>
        </w:tc>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5</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Sort days correctly</w:t>
            </w:r>
          </w:p>
        </w:tc>
      </w:tr>
      <w:tr>
        <w:tc>
          <w:tcPr>
            <w:tcW w:type="dxa" w:w="273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Week_of_Year</w:t>
            </w:r>
          </w:p>
        </w:tc>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46</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Weekly reporting</w:t>
            </w:r>
          </w:p>
        </w:tc>
      </w:tr>
      <w:tr>
        <w:tc>
          <w:tcPr>
            <w:tcW w:type="dxa" w:w="273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Month_Name</w:t>
            </w:r>
          </w:p>
        </w:tc>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November</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User-friendly display</w:t>
            </w:r>
          </w:p>
        </w:tc>
      </w:tr>
      <w:tr>
        <w:tc>
          <w:tcPr>
            <w:tcW w:type="dxa" w:w="273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Month_Num</w:t>
            </w:r>
          </w:p>
        </w:tc>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11</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Sorting, calculations</w:t>
            </w:r>
          </w:p>
        </w:tc>
      </w:tr>
      <w:tr>
        <w:tc>
          <w:tcPr>
            <w:tcW w:type="dxa" w:w="273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Quarter</w:t>
            </w:r>
          </w:p>
        </w:tc>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Q4</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Quarterly analysis</w:t>
            </w:r>
          </w:p>
        </w:tc>
      </w:tr>
      <w:tr>
        <w:tc>
          <w:tcPr>
            <w:tcW w:type="dxa" w:w="273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Year</w:t>
            </w:r>
          </w:p>
        </w:tc>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2024</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Year-over-year comparisons</w:t>
            </w:r>
          </w:p>
        </w:tc>
      </w:tr>
      <w:tr>
        <w:tc>
          <w:tcPr>
            <w:tcW w:type="dxa" w:w="273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Fiscal_Year</w:t>
            </w:r>
          </w:p>
        </w:tc>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FY2025</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If fiscal year differs from calendar</w:t>
            </w:r>
          </w:p>
        </w:tc>
      </w:tr>
      <w:tr>
        <w:tc>
          <w:tcPr>
            <w:tcW w:type="dxa" w:w="273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Is_Weekend</w:t>
            </w:r>
          </w:p>
        </w:tc>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FALSE</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Quick weekend filter</w:t>
            </w:r>
          </w:p>
        </w:tc>
      </w:tr>
      <w:tr>
        <w:tc>
          <w:tcPr>
            <w:tcW w:type="dxa" w:w="273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Is_Holiday</w:t>
            </w:r>
          </w:p>
        </w:tc>
        <w:tc>
          <w:tcPr>
            <w:tcW w:type="dxa" w:w="312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FALSE</w:t>
            </w:r>
          </w:p>
        </w:tc>
        <w:tc>
          <w:tcPr>
            <w:tcW w:type="dxa" w:w="351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Exclude bank holidays from analysis</w:t>
            </w:r>
          </w:p>
        </w:tc>
      </w:tr>
      <w:tr>
        <w:tc>
          <w:tcPr>
            <w:tcW w:type="dxa" w:w="273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Is_Month_End</w:t>
            </w:r>
          </w:p>
        </w:tc>
        <w:tc>
          <w:tcPr>
            <w:tcW w:type="dxa" w:w="31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FALSE</w:t>
            </w:r>
          </w:p>
        </w:tc>
        <w:tc>
          <w:tcPr>
            <w:tcW w:type="dxa" w:w="35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Month-end processing patterns</w:t>
            </w:r>
          </w:p>
        </w:tc>
      </w:tr>
    </w:tbl>
    <w:p>
      <w:pPr>
        <w:spacing w:before="300"/>
      </w:pPr>
    </w:p>
    <w:p>
      <w:pPr>
        <w:pStyle w:val="Heading3"/>
      </w:pPr>
      <w:r>
        <w:t xml:space="preserve">Why Not Just Use Date Functions?</w:t>
      </w:r>
    </w:p>
    <w:p>
      <w:pPr>
        <w:spacing w:after="200"/>
      </w:pPr>
      <w:r>
        <w:t xml:space="preserve">You could extract MONTH(transaction_date) in every query. But:</w:t>
      </w:r>
    </w:p>
    <w:p>
      <w:pPr>
        <w:pStyle w:val="ListParagraph"/>
        <w:numPr>
          <w:ilvl w:val="0"/>
          <w:numId w:val="3"/>
        </w:numPr>
      </w:pPr>
      <w:r>
        <w:rPr>
          <w:b/>
          <w:bCs/>
        </w:rPr>
        <w:t xml:space="preserve">Performance: </w:t>
      </w:r>
      <w:r>
        <w:t xml:space="preserve">Pre-calculated values are faster than runtime functions</w:t>
      </w:r>
    </w:p>
    <w:p>
      <w:pPr>
        <w:pStyle w:val="ListParagraph"/>
        <w:numPr>
          <w:ilvl w:val="0"/>
          <w:numId w:val="3"/>
        </w:numPr>
      </w:pPr>
      <w:r>
        <w:rPr>
          <w:b/>
          <w:bCs/>
        </w:rPr>
        <w:t xml:space="preserve">Business logic: </w:t>
      </w:r>
      <w:r>
        <w:t xml:space="preserve">"Is_Holiday" requires custom logic the database doesn't know</w:t>
      </w:r>
    </w:p>
    <w:p>
      <w:pPr>
        <w:pStyle w:val="ListParagraph"/>
        <w:numPr>
          <w:ilvl w:val="0"/>
          <w:numId w:val="3"/>
        </w:numPr>
      </w:pPr>
      <w:r>
        <w:rPr>
          <w:b/>
          <w:bCs/>
        </w:rPr>
        <w:t xml:space="preserve">Consistency: </w:t>
      </w:r>
      <w:r>
        <w:t xml:space="preserve">Everyone uses the same definition of "fiscal quarter"</w:t>
      </w:r>
    </w:p>
    <w:p>
      <w:pPr>
        <w:pStyle w:val="ListParagraph"/>
        <w:numPr>
          <w:ilvl w:val="0"/>
          <w:numId w:val="3"/>
        </w:numPr>
      </w:pPr>
      <w:r>
        <w:rPr>
          <w:b/>
          <w:bCs/>
        </w:rPr>
        <w:t xml:space="preserve">Flexibility: </w:t>
      </w:r>
      <w:r>
        <w:t xml:space="preserve">Easy to add custom attributes ("Is_Payroll_Day", "Is_Tax_Deadline")</w:t>
      </w:r>
    </w:p>
    <w:p>
      <w:r>
        <w:br w:type="page"/>
      </w:r>
    </w:p>
    <w:p>
      <w:pPr>
        <w:pStyle w:val="Heading1"/>
      </w:pPr>
      <w:r>
        <w:t xml:space="preserve">Part 5: Writing Star Schema Queries</w:t>
      </w:r>
    </w:p>
    <w:p>
      <w:pPr>
        <w:spacing w:after="200"/>
      </w:pPr>
      <w:r>
        <w:t xml:space="preserve">The beauty of star schemas is that queries follow a predictable pattern. Once you learn it, you can answer almost any analytical question.</w:t>
      </w:r>
    </w:p>
    <w:p>
      <w:pPr>
        <w:pStyle w:val="Heading2"/>
      </w:pPr>
      <w:r>
        <w:t xml:space="preserve">The Standard Pattern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263238" w:val="clear"/>
            <w:tcMar>
              <w:top w:type="dxa" w:w="120"/>
              <w:left w:type="dxa" w:w="200"/>
              <w:bottom w:type="dxa" w:w="120"/>
              <w:right w:type="dxa" w:w="200"/>
            </w:tcMar>
          </w:tcPr>
          <w:p>
            <w:r>
              <w:rPr>
                <w:rFonts w:ascii="Courier New" w:cs="Courier New" w:eastAsia="Courier New" w:hAnsi="Courier New"/>
                <w:color w:val="4CAF50"/>
                <w:sz w:val="20"/>
                <w:szCs w:val="20"/>
              </w:rPr>
              <w:t xml:space="preserve">-- The universal star schema query pattern</w:t>
            </w:r>
          </w:p>
          <w:p>
            <w:r>
              <w:rPr>
                <w:rFonts w:ascii="Courier New" w:cs="Courier New" w:eastAsia="Courier New" w:hAnsi="Courier New"/>
                <w:color w:val="FFFFFF"/>
                <w:sz w:val="20"/>
                <w:szCs w:val="20"/>
              </w:rPr>
              <w:t xml:space="preserve">SELECT</w:t>
            </w:r>
          </w:p>
          <w:p>
            <w:r>
              <w:rPr>
                <w:rFonts w:ascii="Courier New" w:cs="Courier New" w:eastAsia="Courier New" w:hAnsi="Courier New"/>
                <w:color w:val="FFFFFF"/>
                <w:sz w:val="20"/>
                <w:szCs w:val="20"/>
              </w:rPr>
              <w:t xml:space="preserve">    dimension_attributes,    -- What to group by</w:t>
            </w:r>
          </w:p>
          <w:p>
            <w:r>
              <w:rPr>
                <w:rFonts w:ascii="Courier New" w:cs="Courier New" w:eastAsia="Courier New" w:hAnsi="Courier New"/>
                <w:color w:val="FFFFFF"/>
                <w:sz w:val="20"/>
                <w:szCs w:val="20"/>
              </w:rPr>
              <w:t xml:space="preserve">    aggregate_functions      -- What to measure</w:t>
            </w:r>
          </w:p>
          <w:p>
            <w:r>
              <w:rPr>
                <w:rFonts w:ascii="Courier New" w:cs="Courier New" w:eastAsia="Courier New" w:hAnsi="Courier New"/>
                <w:color w:val="FFFFFF"/>
                <w:sz w:val="20"/>
                <w:szCs w:val="20"/>
              </w:rPr>
              <w:t xml:space="preserve">FROM Fact_Table f</w:t>
            </w:r>
          </w:p>
          <w:p>
            <w:r>
              <w:rPr>
                <w:rFonts w:ascii="Courier New" w:cs="Courier New" w:eastAsia="Courier New" w:hAnsi="Courier New"/>
                <w:color w:val="FFFFFF"/>
                <w:sz w:val="20"/>
                <w:szCs w:val="20"/>
              </w:rPr>
              <w:t xml:space="preserve">JOIN Dim_Table1 d1 ON f.key = d1.key</w:t>
            </w:r>
          </w:p>
          <w:p>
            <w:r>
              <w:rPr>
                <w:rFonts w:ascii="Courier New" w:cs="Courier New" w:eastAsia="Courier New" w:hAnsi="Courier New"/>
                <w:color w:val="FFFFFF"/>
                <w:sz w:val="20"/>
                <w:szCs w:val="20"/>
              </w:rPr>
              <w:t xml:space="preserve">JOIN Dim_Table2 d2 ON f.key = d2.key</w:t>
            </w:r>
          </w:p>
          <w:p>
            <w:r>
              <w:rPr>
                <w:rFonts w:ascii="Courier New" w:cs="Courier New" w:eastAsia="Courier New" w:hAnsi="Courier New"/>
                <w:color w:val="FFFFFF"/>
                <w:sz w:val="20"/>
                <w:szCs w:val="20"/>
              </w:rPr>
              <w:t xml:space="preserve">WHERE dimension_filters      -- How to filter</w:t>
            </w:r>
          </w:p>
          <w:p>
            <w:r>
              <w:rPr>
                <w:rFonts w:ascii="Courier New" w:cs="Courier New" w:eastAsia="Courier New" w:hAnsi="Courier New"/>
                <w:color w:val="FFFFFF"/>
                <w:sz w:val="20"/>
                <w:szCs w:val="20"/>
              </w:rPr>
              <w:t xml:space="preserve">GROUP BY dimension_attributes</w:t>
            </w:r>
          </w:p>
          <w:p>
            <w:r>
              <w:rPr>
                <w:rFonts w:ascii="Courier New" w:cs="Courier New" w:eastAsia="Courier New" w:hAnsi="Courier New"/>
                <w:color w:val="FFFFFF"/>
                <w:sz w:val="20"/>
                <w:szCs w:val="20"/>
              </w:rPr>
              <w:t xml:space="preserve">ORDER BY measure_or_dimension;</w:t>
            </w:r>
          </w:p>
        </w:tc>
      </w:tr>
    </w:tbl>
    <w:p>
      <w:pPr>
        <w:spacing w:before="300"/>
      </w:pPr>
    </w:p>
    <w:p>
      <w:pPr>
        <w:pStyle w:val="Heading2"/>
      </w:pPr>
      <w:r>
        <w:t xml:space="preserve">Example 1: Total Deposits by Account Type by Quarter</w:t>
      </w:r>
    </w:p>
    <w:p>
      <w:pPr>
        <w:spacing w:after="200"/>
      </w:pPr>
      <w:r>
        <w:rPr>
          <w:b/>
          <w:bCs/>
        </w:rPr>
        <w:t xml:space="preserve">Business Question: </w:t>
      </w:r>
      <w:r>
        <w:t xml:space="preserve">"What's our deposit volume by account type for each quarter of 2024?"</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263238" w:val="clear"/>
            <w:tcMar>
              <w:top w:type="dxa" w:w="120"/>
              <w:left w:type="dxa" w:w="200"/>
              <w:bottom w:type="dxa" w:w="120"/>
              <w:right w:type="dxa" w:w="200"/>
            </w:tcMar>
          </w:tcPr>
          <w:p>
            <w:r>
              <w:rPr>
                <w:rFonts w:ascii="Courier New" w:cs="Courier New" w:eastAsia="Courier New" w:hAnsi="Courier New"/>
                <w:color w:val="FFFFFF"/>
                <w:sz w:val="20"/>
                <w:szCs w:val="20"/>
              </w:rPr>
              <w:t xml:space="preserve">SELECT</w:t>
            </w:r>
          </w:p>
          <w:p>
            <w:r>
              <w:rPr>
                <w:rFonts w:ascii="Courier New" w:cs="Courier New" w:eastAsia="Courier New" w:hAnsi="Courier New"/>
                <w:color w:val="FFFFFF"/>
                <w:sz w:val="20"/>
                <w:szCs w:val="20"/>
              </w:rPr>
              <w:t xml:space="preserve">    d.Quarter,</w:t>
            </w:r>
          </w:p>
          <w:p>
            <w:r>
              <w:rPr>
                <w:rFonts w:ascii="Courier New" w:cs="Courier New" w:eastAsia="Courier New" w:hAnsi="Courier New"/>
                <w:color w:val="FFFFFF"/>
                <w:sz w:val="20"/>
                <w:szCs w:val="20"/>
              </w:rPr>
              <w:t xml:space="preserve">    a.Account_Type,</w:t>
            </w:r>
          </w:p>
          <w:p>
            <w:r>
              <w:rPr>
                <w:rFonts w:ascii="Courier New" w:cs="Courier New" w:eastAsia="Courier New" w:hAnsi="Courier New"/>
                <w:color w:val="FFFFFF"/>
                <w:sz w:val="20"/>
                <w:szCs w:val="20"/>
              </w:rPr>
              <w:t xml:space="preserve">    SUM(f.Transaction_Amount) AS Total_Deposits,</w:t>
            </w:r>
          </w:p>
          <w:p>
            <w:r>
              <w:rPr>
                <w:rFonts w:ascii="Courier New" w:cs="Courier New" w:eastAsia="Courier New" w:hAnsi="Courier New"/>
                <w:color w:val="FFFFFF"/>
                <w:sz w:val="20"/>
                <w:szCs w:val="20"/>
              </w:rPr>
              <w:t xml:space="preserve">    COUNT(*) AS Num_Transactions</w:t>
            </w:r>
          </w:p>
          <w:p>
            <w:r>
              <w:rPr>
                <w:rFonts w:ascii="Courier New" w:cs="Courier New" w:eastAsia="Courier New" w:hAnsi="Courier New"/>
                <w:color w:val="FFFFFF"/>
                <w:sz w:val="20"/>
                <w:szCs w:val="20"/>
              </w:rPr>
              <w:t xml:space="preserve">FROM Fact_Transaction f</w:t>
            </w:r>
          </w:p>
          <w:p>
            <w:r>
              <w:rPr>
                <w:rFonts w:ascii="Courier New" w:cs="Courier New" w:eastAsia="Courier New" w:hAnsi="Courier New"/>
                <w:color w:val="FFFFFF"/>
                <w:sz w:val="20"/>
                <w:szCs w:val="20"/>
              </w:rPr>
              <w:t xml:space="preserve">JOIN Dim_Date d ON f.Date_Key = d.Date_Key</w:t>
            </w:r>
          </w:p>
          <w:p>
            <w:r>
              <w:rPr>
                <w:rFonts w:ascii="Courier New" w:cs="Courier New" w:eastAsia="Courier New" w:hAnsi="Courier New"/>
                <w:color w:val="FFFFFF"/>
                <w:sz w:val="20"/>
                <w:szCs w:val="20"/>
              </w:rPr>
              <w:t xml:space="preserve">JOIN Dim_Account a ON f.Account_Key = a.Account_Key</w:t>
            </w:r>
          </w:p>
          <w:p>
            <w:r>
              <w:rPr>
                <w:rFonts w:ascii="Courier New" w:cs="Courier New" w:eastAsia="Courier New" w:hAnsi="Courier New"/>
                <w:color w:val="FFFFFF"/>
                <w:sz w:val="20"/>
                <w:szCs w:val="20"/>
              </w:rPr>
              <w:t xml:space="preserve">JOIN Dim_Transaction_Type t ON f.Transaction_Type_Key = t.Transaction_Type_Key</w:t>
            </w:r>
          </w:p>
          <w:p>
            <w:r>
              <w:rPr>
                <w:rFonts w:ascii="Courier New" w:cs="Courier New" w:eastAsia="Courier New" w:hAnsi="Courier New"/>
                <w:color w:val="FFFFFF"/>
                <w:sz w:val="20"/>
                <w:szCs w:val="20"/>
              </w:rPr>
              <w:t xml:space="preserve">WHERE d.Year = 2024</w:t>
            </w:r>
          </w:p>
          <w:p>
            <w:r>
              <w:rPr>
                <w:rFonts w:ascii="Courier New" w:cs="Courier New" w:eastAsia="Courier New" w:hAnsi="Courier New"/>
                <w:color w:val="FFFFFF"/>
                <w:sz w:val="20"/>
                <w:szCs w:val="20"/>
              </w:rPr>
              <w:t xml:space="preserve">  AND t.Transaction_Type = 'DEPOSIT'</w:t>
            </w:r>
          </w:p>
          <w:p>
            <w:r>
              <w:rPr>
                <w:rFonts w:ascii="Courier New" w:cs="Courier New" w:eastAsia="Courier New" w:hAnsi="Courier New"/>
                <w:color w:val="FFFFFF"/>
                <w:sz w:val="20"/>
                <w:szCs w:val="20"/>
              </w:rPr>
              <w:t xml:space="preserve">GROUP BY d.Quarter, a.Account_Type</w:t>
            </w:r>
          </w:p>
          <w:p>
            <w:r>
              <w:rPr>
                <w:rFonts w:ascii="Courier New" w:cs="Courier New" w:eastAsia="Courier New" w:hAnsi="Courier New"/>
                <w:color w:val="FFFFFF"/>
                <w:sz w:val="20"/>
                <w:szCs w:val="20"/>
              </w:rPr>
              <w:t xml:space="preserve">ORDER BY d.Quarter, Total_Deposits DESC;</w:t>
            </w:r>
          </w:p>
        </w:tc>
      </w:tr>
    </w:tbl>
    <w:p>
      <w:pPr>
        <w:spacing w:before="300"/>
      </w:pPr>
    </w:p>
    <w:p>
      <w:pPr>
        <w:pStyle w:val="Heading2"/>
      </w:pPr>
      <w:r>
        <w:t xml:space="preserve">Example 2: Branch Performance Comparison</w:t>
      </w:r>
    </w:p>
    <w:p>
      <w:pPr>
        <w:spacing w:after="200"/>
      </w:pPr>
      <w:r>
        <w:rPr>
          <w:b/>
          <w:bCs/>
        </w:rPr>
        <w:t xml:space="preserve">Business Question: </w:t>
      </w:r>
      <w:r>
        <w:t xml:space="preserve">"Which branches have the highest transaction volume on weekends?"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263238" w:val="clear"/>
            <w:tcMar>
              <w:top w:type="dxa" w:w="120"/>
              <w:left w:type="dxa" w:w="200"/>
              <w:bottom w:type="dxa" w:w="120"/>
              <w:right w:type="dxa" w:w="200"/>
            </w:tcMar>
          </w:tcPr>
          <w:p>
            <w:r>
              <w:rPr>
                <w:rFonts w:ascii="Courier New" w:cs="Courier New" w:eastAsia="Courier New" w:hAnsi="Courier New"/>
                <w:color w:val="FFFFFF"/>
                <w:sz w:val="20"/>
                <w:szCs w:val="20"/>
              </w:rPr>
              <w:t xml:space="preserve">SELECT</w:t>
            </w:r>
          </w:p>
          <w:p>
            <w:r>
              <w:rPr>
                <w:rFonts w:ascii="Courier New" w:cs="Courier New" w:eastAsia="Courier New" w:hAnsi="Courier New"/>
                <w:color w:val="FFFFFF"/>
                <w:sz w:val="20"/>
                <w:szCs w:val="20"/>
              </w:rPr>
              <w:t xml:space="preserve">    b.Branch_Name,</w:t>
            </w:r>
          </w:p>
          <w:p>
            <w:r>
              <w:rPr>
                <w:rFonts w:ascii="Courier New" w:cs="Courier New" w:eastAsia="Courier New" w:hAnsi="Courier New"/>
                <w:color w:val="FFFFFF"/>
                <w:sz w:val="20"/>
                <w:szCs w:val="20"/>
              </w:rPr>
              <w:t xml:space="preserve">    b.Region,</w:t>
            </w:r>
          </w:p>
          <w:p>
            <w:r>
              <w:rPr>
                <w:rFonts w:ascii="Courier New" w:cs="Courier New" w:eastAsia="Courier New" w:hAnsi="Courier New"/>
                <w:color w:val="FFFFFF"/>
                <w:sz w:val="20"/>
                <w:szCs w:val="20"/>
              </w:rPr>
              <w:t xml:space="preserve">    SUM(f.Transaction_Amount) AS Weekend_Volume,</w:t>
            </w:r>
          </w:p>
          <w:p>
            <w:r>
              <w:rPr>
                <w:rFonts w:ascii="Courier New" w:cs="Courier New" w:eastAsia="Courier New" w:hAnsi="Courier New"/>
                <w:color w:val="FFFFFF"/>
                <w:sz w:val="20"/>
                <w:szCs w:val="20"/>
              </w:rPr>
              <w:t xml:space="preserve">    COUNT(*) AS Weekend_Transactions</w:t>
            </w:r>
          </w:p>
          <w:p>
            <w:r>
              <w:rPr>
                <w:rFonts w:ascii="Courier New" w:cs="Courier New" w:eastAsia="Courier New" w:hAnsi="Courier New"/>
                <w:color w:val="FFFFFF"/>
                <w:sz w:val="20"/>
                <w:szCs w:val="20"/>
              </w:rPr>
              <w:t xml:space="preserve">FROM Fact_Transaction f</w:t>
            </w:r>
          </w:p>
          <w:p>
            <w:r>
              <w:rPr>
                <w:rFonts w:ascii="Courier New" w:cs="Courier New" w:eastAsia="Courier New" w:hAnsi="Courier New"/>
                <w:color w:val="FFFFFF"/>
                <w:sz w:val="20"/>
                <w:szCs w:val="20"/>
              </w:rPr>
              <w:t xml:space="preserve">JOIN Dim_Date d ON f.Date_Key = d.Date_Key</w:t>
            </w:r>
          </w:p>
          <w:p>
            <w:r>
              <w:rPr>
                <w:rFonts w:ascii="Courier New" w:cs="Courier New" w:eastAsia="Courier New" w:hAnsi="Courier New"/>
                <w:color w:val="FFFFFF"/>
                <w:sz w:val="20"/>
                <w:szCs w:val="20"/>
              </w:rPr>
              <w:t xml:space="preserve">JOIN Dim_Branch b ON f.Branch_Key = b.Branch_Key</w:t>
            </w:r>
          </w:p>
          <w:p>
            <w:r>
              <w:rPr>
                <w:rFonts w:ascii="Courier New" w:cs="Courier New" w:eastAsia="Courier New" w:hAnsi="Courier New"/>
                <w:color w:val="FFFFFF"/>
                <w:sz w:val="20"/>
                <w:szCs w:val="20"/>
              </w:rPr>
              <w:t xml:space="preserve">WHERE d.Is_Weekend = TRUE</w:t>
            </w:r>
          </w:p>
          <w:p>
            <w:r>
              <w:rPr>
                <w:rFonts w:ascii="Courier New" w:cs="Courier New" w:eastAsia="Courier New" w:hAnsi="Courier New"/>
                <w:color w:val="FFFFFF"/>
                <w:sz w:val="20"/>
                <w:szCs w:val="20"/>
              </w:rPr>
              <w:t xml:space="preserve">  AND d.Year = 2024</w:t>
            </w:r>
          </w:p>
          <w:p>
            <w:r>
              <w:rPr>
                <w:rFonts w:ascii="Courier New" w:cs="Courier New" w:eastAsia="Courier New" w:hAnsi="Courier New"/>
                <w:color w:val="FFFFFF"/>
                <w:sz w:val="20"/>
                <w:szCs w:val="20"/>
              </w:rPr>
              <w:t xml:space="preserve">GROUP BY b.Branch_Name, b.Region</w:t>
            </w:r>
          </w:p>
          <w:p>
            <w:r>
              <w:rPr>
                <w:rFonts w:ascii="Courier New" w:cs="Courier New" w:eastAsia="Courier New" w:hAnsi="Courier New"/>
                <w:color w:val="FFFFFF"/>
                <w:sz w:val="20"/>
                <w:szCs w:val="20"/>
              </w:rPr>
              <w:t xml:space="preserve">ORDER BY Weekend_Volume DESC</w:t>
            </w:r>
          </w:p>
          <w:p>
            <w:r>
              <w:rPr>
                <w:rFonts w:ascii="Courier New" w:cs="Courier New" w:eastAsia="Courier New" w:hAnsi="Courier New"/>
                <w:color w:val="FFFFFF"/>
                <w:sz w:val="20"/>
                <w:szCs w:val="20"/>
              </w:rPr>
              <w:t xml:space="preserve">FETCH FIRST 10 ROWS ONLY;</w:t>
            </w:r>
          </w:p>
        </w:tc>
      </w:tr>
    </w:tbl>
    <w:p>
      <w:pPr>
        <w:spacing w:before="300"/>
      </w:pPr>
    </w:p>
    <w:p>
      <w:pPr>
        <w:pStyle w:val="Heading2"/>
      </w:pPr>
      <w:r>
        <w:t xml:space="preserve">Example 3: Channel Adoption Trends</w:t>
      </w:r>
    </w:p>
    <w:p>
      <w:pPr>
        <w:spacing w:after="200"/>
      </w:pPr>
      <w:r>
        <w:rPr>
          <w:b/>
          <w:bCs/>
        </w:rPr>
        <w:t xml:space="preserve">Business Question: </w:t>
      </w:r>
      <w:r>
        <w:t xml:space="preserve">"How is mobile banking adoption changing month over month?"</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263238" w:val="clear"/>
            <w:tcMar>
              <w:top w:type="dxa" w:w="120"/>
              <w:left w:type="dxa" w:w="200"/>
              <w:bottom w:type="dxa" w:w="120"/>
              <w:right w:type="dxa" w:w="200"/>
            </w:tcMar>
          </w:tcPr>
          <w:p>
            <w:r>
              <w:rPr>
                <w:rFonts w:ascii="Courier New" w:cs="Courier New" w:eastAsia="Courier New" w:hAnsi="Courier New"/>
                <w:color w:val="FFFFFF"/>
                <w:sz w:val="20"/>
                <w:szCs w:val="20"/>
              </w:rPr>
              <w:t xml:space="preserve">SELECT</w:t>
            </w:r>
          </w:p>
          <w:p>
            <w:r>
              <w:rPr>
                <w:rFonts w:ascii="Courier New" w:cs="Courier New" w:eastAsia="Courier New" w:hAnsi="Courier New"/>
                <w:color w:val="FFFFFF"/>
                <w:sz w:val="20"/>
                <w:szCs w:val="20"/>
              </w:rPr>
              <w:t xml:space="preserve">    d.Year,</w:t>
            </w:r>
          </w:p>
          <w:p>
            <w:r>
              <w:rPr>
                <w:rFonts w:ascii="Courier New" w:cs="Courier New" w:eastAsia="Courier New" w:hAnsi="Courier New"/>
                <w:color w:val="FFFFFF"/>
                <w:sz w:val="20"/>
                <w:szCs w:val="20"/>
              </w:rPr>
              <w:t xml:space="preserve">    d.Month_Name,</w:t>
            </w:r>
          </w:p>
          <w:p>
            <w:r>
              <w:rPr>
                <w:rFonts w:ascii="Courier New" w:cs="Courier New" w:eastAsia="Courier New" w:hAnsi="Courier New"/>
                <w:color w:val="FFFFFF"/>
                <w:sz w:val="20"/>
                <w:szCs w:val="20"/>
              </w:rPr>
              <w:t xml:space="preserve">    c.Channel_Name,</w:t>
            </w:r>
          </w:p>
          <w:p>
            <w:r>
              <w:rPr>
                <w:rFonts w:ascii="Courier New" w:cs="Courier New" w:eastAsia="Courier New" w:hAnsi="Courier New"/>
                <w:color w:val="FFFFFF"/>
                <w:sz w:val="20"/>
                <w:szCs w:val="20"/>
              </w:rPr>
              <w:t xml:space="preserve">    COUNT(*) AS Transactions,</w:t>
            </w:r>
          </w:p>
          <w:p>
            <w:r>
              <w:rPr>
                <w:rFonts w:ascii="Courier New" w:cs="Courier New" w:eastAsia="Courier New" w:hAnsi="Courier New"/>
                <w:color w:val="FFFFFF"/>
                <w:sz w:val="20"/>
                <w:szCs w:val="20"/>
              </w:rPr>
              <w:t xml:space="preserve">    ROUND(COUNT(*) * 100.0 / SUM(COUNT(*)) OVER</w:t>
            </w:r>
          </w:p>
          <w:p>
            <w:r>
              <w:rPr>
                <w:rFonts w:ascii="Courier New" w:cs="Courier New" w:eastAsia="Courier New" w:hAnsi="Courier New"/>
                <w:color w:val="FFFFFF"/>
                <w:sz w:val="20"/>
                <w:szCs w:val="20"/>
              </w:rPr>
              <w:t xml:space="preserve">          (PARTITION BY d.Year, d.Month_Num), 1) AS Pct_of_Month</w:t>
            </w:r>
          </w:p>
          <w:p>
            <w:r>
              <w:rPr>
                <w:rFonts w:ascii="Courier New" w:cs="Courier New" w:eastAsia="Courier New" w:hAnsi="Courier New"/>
                <w:color w:val="FFFFFF"/>
                <w:sz w:val="20"/>
                <w:szCs w:val="20"/>
              </w:rPr>
              <w:t xml:space="preserve">FROM Fact_Transaction f</w:t>
            </w:r>
          </w:p>
          <w:p>
            <w:r>
              <w:rPr>
                <w:rFonts w:ascii="Courier New" w:cs="Courier New" w:eastAsia="Courier New" w:hAnsi="Courier New"/>
                <w:color w:val="FFFFFF"/>
                <w:sz w:val="20"/>
                <w:szCs w:val="20"/>
              </w:rPr>
              <w:t xml:space="preserve">JOIN Dim_Date d ON f.Date_Key = d.Date_Key</w:t>
            </w:r>
          </w:p>
          <w:p>
            <w:r>
              <w:rPr>
                <w:rFonts w:ascii="Courier New" w:cs="Courier New" w:eastAsia="Courier New" w:hAnsi="Courier New"/>
                <w:color w:val="FFFFFF"/>
                <w:sz w:val="20"/>
                <w:szCs w:val="20"/>
              </w:rPr>
              <w:t xml:space="preserve">JOIN Dim_Channel c ON f.Channel_Key = c.Channel_Key</w:t>
            </w:r>
          </w:p>
          <w:p>
            <w:r>
              <w:rPr>
                <w:rFonts w:ascii="Courier New" w:cs="Courier New" w:eastAsia="Courier New" w:hAnsi="Courier New"/>
                <w:color w:val="FFFFFF"/>
                <w:sz w:val="20"/>
                <w:szCs w:val="20"/>
              </w:rPr>
              <w:t xml:space="preserve">WHERE d.Year IN (2023, 2024)</w:t>
            </w:r>
          </w:p>
          <w:p>
            <w:r>
              <w:rPr>
                <w:rFonts w:ascii="Courier New" w:cs="Courier New" w:eastAsia="Courier New" w:hAnsi="Courier New"/>
                <w:color w:val="FFFFFF"/>
                <w:sz w:val="20"/>
                <w:szCs w:val="20"/>
              </w:rPr>
              <w:t xml:space="preserve">GROUP BY d.Year, d.Month_Num, d.Month_Name, c.Channel_Name</w:t>
            </w:r>
          </w:p>
          <w:p>
            <w:r>
              <w:rPr>
                <w:rFonts w:ascii="Courier New" w:cs="Courier New" w:eastAsia="Courier New" w:hAnsi="Courier New"/>
                <w:color w:val="FFFFFF"/>
                <w:sz w:val="20"/>
                <w:szCs w:val="20"/>
              </w:rPr>
              <w:t xml:space="preserve">ORDER BY d.Year, d.Month_Num, c.Channel_Name;</w:t>
            </w:r>
          </w:p>
        </w:tc>
      </w:tr>
    </w:tbl>
    <w:p>
      <w:r>
        <w:br w:type="page"/>
      </w:r>
    </w:p>
    <w:p>
      <w:pPr>
        <w:pStyle w:val="Heading1"/>
      </w:pPr>
      <w:r>
        <w:t xml:space="preserve">Part 6: Star Schema vs. Snowflake Schema</w:t>
      </w:r>
    </w:p>
    <w:p>
      <w:pPr>
        <w:spacing w:after="200"/>
      </w:pPr>
      <w:r>
        <w:t xml:space="preserve">You'll sometimes hear about </w:t>
      </w:r>
      <w:r>
        <w:rPr>
          <w:b/>
          <w:bCs/>
        </w:rPr>
        <w:t xml:space="preserve">snowflake schemas</w:t>
      </w:r>
      <w:r>
        <w:t xml:space="preserve">—a variation where dimension tables are normalized instead of flat. Let's compare.</w:t>
      </w:r>
    </w:p>
    <w:p>
      <w:pPr>
        <w:pStyle w:val="Heading2"/>
      </w:pPr>
      <w:r>
        <w:t xml:space="preserve">Star Schema: Flat Dimensions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263238" w:val="clear"/>
            <w:tcMar>
              <w:top w:type="dxa" w:w="120"/>
              <w:left w:type="dxa" w:w="200"/>
              <w:bottom w:type="dxa" w:w="120"/>
              <w:right w:type="dxa" w:w="200"/>
            </w:tcMar>
          </w:tcPr>
          <w:p>
            <w:r>
              <w:rPr>
                <w:rFonts w:ascii="Courier New" w:cs="Courier New" w:eastAsia="Courier New" w:hAnsi="Courier New"/>
                <w:color w:val="4CAF50"/>
                <w:sz w:val="20"/>
                <w:szCs w:val="20"/>
              </w:rPr>
              <w:t xml:space="preserve">-- Star: Everything about the account in one table</w:t>
            </w:r>
          </w:p>
          <w:p>
            <w:r>
              <w:rPr>
                <w:rFonts w:ascii="Courier New" w:cs="Courier New" w:eastAsia="Courier New" w:hAnsi="Courier New"/>
                <w:color w:val="FFFFFF"/>
                <w:sz w:val="20"/>
                <w:szCs w:val="20"/>
              </w:rPr>
              <w:t xml:space="preserve">Dim_Account:</w:t>
            </w:r>
          </w:p>
          <w:p>
            <w:r>
              <w:rPr>
                <w:rFonts w:ascii="Courier New" w:cs="Courier New" w:eastAsia="Courier New" w:hAnsi="Courier New"/>
                <w:color w:val="FFFFFF"/>
                <w:sz w:val="20"/>
                <w:szCs w:val="20"/>
              </w:rPr>
              <w:t xml:space="preserve">  Account_Key, Account_Number, Account_Type,</w:t>
            </w:r>
          </w:p>
          <w:p>
            <w:r>
              <w:rPr>
                <w:rFonts w:ascii="Courier New" w:cs="Courier New" w:eastAsia="Courier New" w:hAnsi="Courier New"/>
                <w:color w:val="FFFFFF"/>
                <w:sz w:val="20"/>
                <w:szCs w:val="20"/>
              </w:rPr>
              <w:t xml:space="preserve">  Branch_Name, Branch_Region, Branch_Manager,</w:t>
            </w:r>
          </w:p>
          <w:p>
            <w:r>
              <w:rPr>
                <w:rFonts w:ascii="Courier New" w:cs="Courier New" w:eastAsia="Courier New" w:hAnsi="Courier New"/>
                <w:color w:val="FFFFFF"/>
                <w:sz w:val="20"/>
                <w:szCs w:val="20"/>
              </w:rPr>
              <w:t xml:space="preserve">  Customer_Name, Customer_Segment</w:t>
            </w:r>
          </w:p>
        </w:tc>
      </w:tr>
    </w:tbl>
    <w:p>
      <w:pPr>
        <w:spacing w:before="200"/>
      </w:pPr>
    </w:p>
    <w:p>
      <w:pPr>
        <w:pStyle w:val="Heading2"/>
      </w:pPr>
      <w:r>
        <w:t xml:space="preserve">Snowflake Schema: Normalized Dimensions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263238" w:val="clear"/>
            <w:tcMar>
              <w:top w:type="dxa" w:w="120"/>
              <w:left w:type="dxa" w:w="200"/>
              <w:bottom w:type="dxa" w:w="120"/>
              <w:right w:type="dxa" w:w="200"/>
            </w:tcMar>
          </w:tcPr>
          <w:p>
            <w:r>
              <w:rPr>
                <w:rFonts w:ascii="Courier New" w:cs="Courier New" w:eastAsia="Courier New" w:hAnsi="Courier New"/>
                <w:color w:val="4CAF50"/>
                <w:sz w:val="20"/>
                <w:szCs w:val="20"/>
              </w:rPr>
              <w:t xml:space="preserve">-- Snowflake: Dimensions have their own sub-dimensions</w:t>
            </w:r>
          </w:p>
          <w:p>
            <w:r>
              <w:rPr>
                <w:rFonts w:ascii="Courier New" w:cs="Courier New" w:eastAsia="Courier New" w:hAnsi="Courier New"/>
                <w:color w:val="FFFFFF"/>
                <w:sz w:val="20"/>
                <w:szCs w:val="20"/>
              </w:rPr>
              <w:t xml:space="preserve">Dim_Account:</w:t>
            </w:r>
          </w:p>
          <w:p>
            <w:r>
              <w:rPr>
                <w:rFonts w:ascii="Courier New" w:cs="Courier New" w:eastAsia="Courier New" w:hAnsi="Courier New"/>
                <w:color w:val="FFFFFF"/>
                <w:sz w:val="20"/>
                <w:szCs w:val="20"/>
              </w:rPr>
              <w:t xml:space="preserve">  Account_Key, Account_Number, Account_Type,</w:t>
            </w:r>
          </w:p>
          <w:p>
            <w:r>
              <w:rPr>
                <w:rFonts w:ascii="Courier New" w:cs="Courier New" w:eastAsia="Courier New" w:hAnsi="Courier New"/>
                <w:color w:val="FFFFFF"/>
                <w:sz w:val="20"/>
                <w:szCs w:val="20"/>
              </w:rPr>
              <w:t xml:space="preserve">  Branch_Key (FK), Customer_Key (FK)</w:t>
            </w:r>
          </w:p>
          <w:p>
            <w:r>
              <w:rPr>
                <w:rFonts w:ascii="Courier New" w:cs="Courier New" w:eastAsia="Courier New" w:hAnsi="Courier New"/>
                <w:color w:val="FFFFFF"/>
                <w:sz w:val="20"/>
                <w:szCs w:val="20"/>
              </w:rPr>
              <w:t xml:space="preserve"/>
            </w:r>
          </w:p>
          <w:p>
            <w:r>
              <w:rPr>
                <w:rFonts w:ascii="Courier New" w:cs="Courier New" w:eastAsia="Courier New" w:hAnsi="Courier New"/>
                <w:color w:val="FFFFFF"/>
                <w:sz w:val="20"/>
                <w:szCs w:val="20"/>
              </w:rPr>
              <w:t xml:space="preserve">Dim_Branch:</w:t>
            </w:r>
          </w:p>
          <w:p>
            <w:r>
              <w:rPr>
                <w:rFonts w:ascii="Courier New" w:cs="Courier New" w:eastAsia="Courier New" w:hAnsi="Courier New"/>
                <w:color w:val="FFFFFF"/>
                <w:sz w:val="20"/>
                <w:szCs w:val="20"/>
              </w:rPr>
              <w:t xml:space="preserve">  Branch_Key, Branch_Name, Region_Key (FK)</w:t>
            </w:r>
          </w:p>
          <w:p>
            <w:r>
              <w:rPr>
                <w:rFonts w:ascii="Courier New" w:cs="Courier New" w:eastAsia="Courier New" w:hAnsi="Courier New"/>
                <w:color w:val="FFFFFF"/>
                <w:sz w:val="20"/>
                <w:szCs w:val="20"/>
              </w:rPr>
              <w:t xml:space="preserve"/>
            </w:r>
          </w:p>
          <w:p>
            <w:r>
              <w:rPr>
                <w:rFonts w:ascii="Courier New" w:cs="Courier New" w:eastAsia="Courier New" w:hAnsi="Courier New"/>
                <w:color w:val="FFFFFF"/>
                <w:sz w:val="20"/>
                <w:szCs w:val="20"/>
              </w:rPr>
              <w:t xml:space="preserve">Dim_Region:</w:t>
            </w:r>
          </w:p>
          <w:p>
            <w:r>
              <w:rPr>
                <w:rFonts w:ascii="Courier New" w:cs="Courier New" w:eastAsia="Courier New" w:hAnsi="Courier New"/>
                <w:color w:val="FFFFFF"/>
                <w:sz w:val="20"/>
                <w:szCs w:val="20"/>
              </w:rPr>
              <w:t xml:space="preserve">  Region_Key, Region_Name, Division</w:t>
            </w:r>
          </w:p>
        </w:tc>
      </w:tr>
    </w:tbl>
    <w:p>
      <w:pPr>
        <w:spacing w:before="300"/>
      </w:pPr>
    </w:p>
    <w:p>
      <w:pPr>
        <w:pStyle w:val="Heading2"/>
      </w:pPr>
      <w:r>
        <w:t xml:space="preserve">When to Use Each</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Star Schema (Recommended)</w:t>
            </w:r>
          </w:p>
        </w:tc>
        <w:tc>
          <w:tcPr>
            <w:tcW w:type="dxa" w:w="468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Snowflake Schema</w:t>
            </w:r>
          </w:p>
        </w:tc>
      </w:tr>
      <w:tr>
        <w:tc>
          <w:tcPr>
            <w:tcW w:type="dxa" w:w="46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t xml:space="preserve">✓ Simpler queries (fewer joins)</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More complex queries</w:t>
            </w:r>
          </w:p>
        </w:tc>
      </w:tr>
      <w:tr>
        <w:tc>
          <w:tcPr>
            <w:tcW w:type="dxa" w:w="46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t xml:space="preserve">✓ Better query performance</w:t>
            </w:r>
          </w:p>
        </w:tc>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Slightly slower (more joins)</w:t>
            </w:r>
          </w:p>
        </w:tc>
      </w:tr>
      <w:tr>
        <w:tc>
          <w:tcPr>
            <w:tcW w:type="dxa" w:w="46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t xml:space="preserve">✓ BI tools love it</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Less storage space</w:t>
            </w:r>
          </w:p>
        </w:tc>
      </w:tr>
      <w:tr>
        <w:tc>
          <w:tcPr>
            <w:tcW w:type="dxa" w:w="46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t xml:space="preserve">✓ Easier for analysts to understand</w:t>
            </w:r>
          </w:p>
        </w:tc>
        <w:tc>
          <w:tcPr>
            <w:tcW w:type="dxa" w:w="468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Easier updates (change in one place)</w:t>
            </w:r>
          </w:p>
        </w:tc>
      </w:tr>
      <w:tr>
        <w:tc>
          <w:tcPr>
            <w:tcW w:type="dxa" w:w="46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t xml:space="preserve">More storage (redundancy)</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Better for very large dimensions</w:t>
            </w:r>
          </w:p>
        </w:tc>
      </w:tr>
    </w:tbl>
    <w:p>
      <w:pPr>
        <w:spacing w:before="3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FF8E1" w:val="clear"/>
            <w:tcMar>
              <w:top w:type="dxa" w:w="80"/>
              <w:left w:type="dxa" w:w="120"/>
              <w:bottom w:type="dxa" w:w="80"/>
              <w:right w:type="dxa" w:w="120"/>
            </w:tcMar>
          </w:tcPr>
          <w:p>
            <w:pPr>
              <w:spacing w:after="120"/>
            </w:pPr>
            <w:r>
              <w:rPr>
                <w:b/>
                <w:bCs/>
                <w:color w:val="F57C00"/>
                <w:sz w:val="24"/>
                <w:szCs w:val="24"/>
              </w:rPr>
              <w:t xml:space="preserve">Industry Reality</w:t>
            </w:r>
          </w:p>
          <w:p>
            <w:r>
              <w:t xml:space="preserve">About 90% of data warehouses use star schemas. The query simplicity and performance benefits almost always outweigh the storage costs. Storage is cheap; analyst time is expensive. When in doubt, choose star.</w:t>
            </w:r>
          </w:p>
        </w:tc>
      </w:tr>
    </w:tbl>
    <w:p>
      <w:r>
        <w:br w:type="page"/>
      </w:r>
    </w:p>
    <w:p>
      <w:pPr>
        <w:pStyle w:val="Heading1"/>
      </w:pPr>
      <w:r>
        <w:t xml:space="preserve">Part 7: Slowly Changing Dimensions (SCD)</w:t>
      </w:r>
    </w:p>
    <w:p>
      <w:pPr>
        <w:spacing w:after="200"/>
      </w:pPr>
      <w:r>
        <w:t xml:space="preserve">Here's a tricky question: What happens when a customer moves to a new address? Or an account changes from Checking to Money Market? Dimension data </w:t>
      </w:r>
      <w:r>
        <w:rPr>
          <w:b/>
          <w:bCs/>
        </w:rPr>
        <w:t xml:space="preserve">changes</w:t>
      </w:r>
      <w:r>
        <w:t xml:space="preserve">, and we need a strategy for handling it. This is called the </w:t>
      </w:r>
      <w:r>
        <w:rPr>
          <w:b/>
          <w:bCs/>
        </w:rPr>
        <w:t xml:space="preserve">Slowly Changing Dimension (SCD)</w:t>
      </w:r>
      <w:r>
        <w:t xml:space="preserve"> problem.</w:t>
      </w:r>
    </w:p>
    <w:p>
      <w:pPr>
        <w:pStyle w:val="Heading2"/>
      </w:pPr>
      <w:r>
        <w:t xml:space="preserve">Three Common Strategies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560"/>
        <w:gridCol w:w="3900"/>
        <w:gridCol w:w="3900"/>
      </w:tblGrid>
      <w:tr>
        <w:tc>
          <w:tcPr>
            <w:tcW w:type="dxa" w:w="156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Type</w:t>
            </w:r>
          </w:p>
        </w:tc>
        <w:tc>
          <w:tcPr>
            <w:tcW w:type="dxa" w:w="390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How It Works</w:t>
            </w:r>
          </w:p>
        </w:tc>
        <w:tc>
          <w:tcPr>
            <w:tcW w:type="dxa" w:w="3900"/>
            <w:tcBorders>
              <w:top w:val="single" w:color="CCCCCC" w:sz="1"/>
              <w:left w:val="single" w:color="CCCCCC" w:sz="1"/>
              <w:bottom w:val="single" w:color="CCCCCC" w:sz="1"/>
              <w:right w:val="single" w:color="CCCCCC" w:sz="1"/>
            </w:tcBorders>
            <w:shd w:fill="1E3A5F" w:val="clear"/>
            <w:tcMar>
              <w:top w:type="dxa" w:w="80"/>
              <w:left w:type="dxa" w:w="120"/>
              <w:bottom w:type="dxa" w:w="80"/>
              <w:right w:type="dxa" w:w="120"/>
            </w:tcMar>
          </w:tcPr>
          <w:p>
            <w:r>
              <w:rPr>
                <w:b/>
                <w:bCs/>
                <w:color w:val="FFFFFF"/>
              </w:rPr>
              <w:t xml:space="preserve">Banking Example</w:t>
            </w:r>
          </w:p>
        </w:tc>
      </w:tr>
      <w:tr>
        <w:tc>
          <w:tcPr>
            <w:tcW w:type="dxa" w:w="1560"/>
            <w:tcBorders>
              <w:top w:val="single" w:color="CCCCCC" w:sz="1"/>
              <w:left w:val="single" w:color="CCCCCC" w:sz="1"/>
              <w:bottom w:val="single" w:color="CCCCCC" w:sz="1"/>
              <w:right w:val="single" w:color="CCCCCC" w:sz="1"/>
            </w:tcBorders>
            <w:shd w:fill="FFCDD2" w:val="clear"/>
            <w:tcMar>
              <w:top w:type="dxa" w:w="80"/>
              <w:left w:type="dxa" w:w="120"/>
              <w:bottom w:type="dxa" w:w="80"/>
              <w:right w:type="dxa" w:w="120"/>
            </w:tcMar>
          </w:tcPr>
          <w:p>
            <w:r>
              <w:rPr>
                <w:b/>
                <w:bCs/>
              </w:rPr>
              <w:t xml:space="preserve">Type 1</w:t>
            </w:r>
          </w:p>
          <w:p>
            <w:r>
              <w:rPr>
                <w:i/>
                <w:iCs/>
                <w:sz w:val="18"/>
                <w:szCs w:val="18"/>
              </w:rPr>
              <w:t xml:space="preserve">Overwrite</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Simply replace old value with new value. History is lost.</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Customer's phone number changes—just update it. We don't care about old phone.</w:t>
            </w:r>
          </w:p>
        </w:tc>
      </w:tr>
      <w:tr>
        <w:tc>
          <w:tcPr>
            <w:tcW w:type="dxa" w:w="1560"/>
            <w:tcBorders>
              <w:top w:val="single" w:color="CCCCCC" w:sz="1"/>
              <w:left w:val="single" w:color="CCCCCC" w:sz="1"/>
              <w:bottom w:val="single" w:color="CCCCCC" w:sz="1"/>
              <w:right w:val="single" w:color="CCCCCC" w:sz="1"/>
            </w:tcBorders>
            <w:shd w:fill="C8E6C9" w:val="clear"/>
            <w:tcMar>
              <w:top w:type="dxa" w:w="80"/>
              <w:left w:type="dxa" w:w="120"/>
              <w:bottom w:type="dxa" w:w="80"/>
              <w:right w:type="dxa" w:w="120"/>
            </w:tcMar>
          </w:tcPr>
          <w:p>
            <w:r>
              <w:rPr>
                <w:b/>
                <w:bCs/>
              </w:rPr>
              <w:t xml:space="preserve">Type 2</w:t>
            </w:r>
          </w:p>
          <w:p>
            <w:r>
              <w:rPr>
                <w:i/>
                <w:iCs/>
                <w:sz w:val="18"/>
                <w:szCs w:val="18"/>
              </w:rPr>
              <w:t xml:space="preserve">Add Row</w:t>
            </w:r>
          </w:p>
        </w:tc>
        <w:tc>
          <w:tcPr>
            <w:tcW w:type="dxa" w:w="3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Create a new row with new surrogate key. Old row preserved with effective dates.</w:t>
            </w:r>
          </w:p>
        </w:tc>
        <w:tc>
          <w:tcPr>
            <w:tcW w:type="dxa" w:w="39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color w:val="000000"/>
              </w:rPr>
              <w:t xml:space="preserve">Customer moves to new region. Keep both rows to track which region they were in for each transaction.</w:t>
            </w:r>
          </w:p>
        </w:tc>
      </w:tr>
      <w:tr>
        <w:tc>
          <w:tcPr>
            <w:tcW w:type="dxa" w:w="1560"/>
            <w:tcBorders>
              <w:top w:val="single" w:color="CCCCCC" w:sz="1"/>
              <w:left w:val="single" w:color="CCCCCC" w:sz="1"/>
              <w:bottom w:val="single" w:color="CCCCCC" w:sz="1"/>
              <w:right w:val="single" w:color="CCCCCC" w:sz="1"/>
            </w:tcBorders>
            <w:shd w:fill="BBDEFB" w:val="clear"/>
            <w:tcMar>
              <w:top w:type="dxa" w:w="80"/>
              <w:left w:type="dxa" w:w="120"/>
              <w:bottom w:type="dxa" w:w="80"/>
              <w:right w:type="dxa" w:w="120"/>
            </w:tcMar>
          </w:tcPr>
          <w:p>
            <w:r>
              <w:rPr>
                <w:b/>
                <w:bCs/>
              </w:rPr>
              <w:t xml:space="preserve">Type 3</w:t>
            </w:r>
          </w:p>
          <w:p>
            <w:r>
              <w:rPr>
                <w:i/>
                <w:iCs/>
                <w:sz w:val="18"/>
                <w:szCs w:val="18"/>
              </w:rPr>
              <w:t xml:space="preserve">Add Column</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Add columns for previous value. Limited history (usually just one prior).</w:t>
            </w:r>
          </w:p>
        </w:tc>
        <w:tc>
          <w:tcPr>
            <w:tcW w:type="dxa" w:w="39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color w:val="000000"/>
              </w:rPr>
              <w:t xml:space="preserve">Account gets new interest rate. Store Current_Rate and Previous_Rate columns.</w:t>
            </w:r>
          </w:p>
        </w:tc>
      </w:tr>
    </w:tbl>
    <w:p>
      <w:pPr>
        <w:spacing w:before="300"/>
      </w:pPr>
    </w:p>
    <w:p>
      <w:pPr>
        <w:pStyle w:val="Heading3"/>
      </w:pPr>
      <w:r>
        <w:t xml:space="preserve">Type 2 in Action: Customer Moves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263238" w:val="clear"/>
            <w:tcMar>
              <w:top w:type="dxa" w:w="120"/>
              <w:left w:type="dxa" w:w="200"/>
              <w:bottom w:type="dxa" w:w="120"/>
              <w:right w:type="dxa" w:w="200"/>
            </w:tcMar>
          </w:tcPr>
          <w:p>
            <w:r>
              <w:rPr>
                <w:rFonts w:ascii="Courier New" w:cs="Courier New" w:eastAsia="Courier New" w:hAnsi="Courier New"/>
                <w:color w:val="4CAF50"/>
                <w:sz w:val="20"/>
                <w:szCs w:val="20"/>
              </w:rPr>
              <w:t xml:space="preserve">-- Customer John Smith moves from East to West region</w:t>
            </w:r>
          </w:p>
          <w:p>
            <w:r>
              <w:rPr>
                <w:rFonts w:ascii="Courier New" w:cs="Courier New" w:eastAsia="Courier New" w:hAnsi="Courier New"/>
                <w:color w:val="FFFFFF"/>
                <w:sz w:val="20"/>
                <w:szCs w:val="20"/>
              </w:rPr>
              <w:t xml:space="preserve">-- Before: One row</w:t>
            </w:r>
          </w:p>
          <w:p>
            <w:r>
              <w:rPr>
                <w:rFonts w:ascii="Courier New" w:cs="Courier New" w:eastAsia="Courier New" w:hAnsi="Courier New"/>
                <w:color w:val="FFFFFF"/>
                <w:sz w:val="20"/>
                <w:szCs w:val="20"/>
              </w:rPr>
              <w:t xml:space="preserve">Customer_Key | Customer_ID | Name       | Region | Eff_Start  | Eff_End    | Current</w:t>
            </w:r>
          </w:p>
          <w:p>
            <w:r>
              <w:rPr>
                <w:rFonts w:ascii="Courier New" w:cs="Courier New" w:eastAsia="Courier New" w:hAnsi="Courier New"/>
                <w:color w:val="FFFFFF"/>
                <w:sz w:val="20"/>
                <w:szCs w:val="20"/>
              </w:rPr>
              <w:t xml:space="preserve">1001         | C-5547      | John Smith | East   | 2020-01-15 | 9999-12-31 | Y</w:t>
            </w:r>
          </w:p>
          <w:p>
            <w:r>
              <w:rPr>
                <w:rFonts w:ascii="Courier New" w:cs="Courier New" w:eastAsia="Courier New" w:hAnsi="Courier New"/>
                <w:color w:val="FFFFFF"/>
                <w:sz w:val="20"/>
                <w:szCs w:val="20"/>
              </w:rPr>
              <w:t xml:space="preserve"/>
            </w:r>
          </w:p>
          <w:p>
            <w:r>
              <w:rPr>
                <w:rFonts w:ascii="Courier New" w:cs="Courier New" w:eastAsia="Courier New" w:hAnsi="Courier New"/>
                <w:color w:val="FFFFFF"/>
                <w:sz w:val="20"/>
                <w:szCs w:val="20"/>
              </w:rPr>
              <w:t xml:space="preserve">-- After: Two rows (old row closed, new row added)</w:t>
            </w:r>
          </w:p>
          <w:p>
            <w:r>
              <w:rPr>
                <w:rFonts w:ascii="Courier New" w:cs="Courier New" w:eastAsia="Courier New" w:hAnsi="Courier New"/>
                <w:color w:val="FFFFFF"/>
                <w:sz w:val="20"/>
                <w:szCs w:val="20"/>
              </w:rPr>
              <w:t xml:space="preserve">Customer_Key | Customer_ID | Name       | Region | Eff_Start  | Eff_End    | Current</w:t>
            </w:r>
          </w:p>
          <w:p>
            <w:r>
              <w:rPr>
                <w:rFonts w:ascii="Courier New" w:cs="Courier New" w:eastAsia="Courier New" w:hAnsi="Courier New"/>
                <w:color w:val="FFFFFF"/>
                <w:sz w:val="20"/>
                <w:szCs w:val="20"/>
              </w:rPr>
              <w:t xml:space="preserve">1001         | C-5547      | John Smith | East   | 2020-01-15 | 2024-06-30 | N</w:t>
            </w:r>
          </w:p>
          <w:p>
            <w:r>
              <w:rPr>
                <w:rFonts w:ascii="Courier New" w:cs="Courier New" w:eastAsia="Courier New" w:hAnsi="Courier New"/>
                <w:color w:val="FFFFFF"/>
                <w:sz w:val="20"/>
                <w:szCs w:val="20"/>
              </w:rPr>
              <w:t xml:space="preserve">2847         | C-5547      | John Smith | West   | 2024-07-01 | 9999-12-31 | Y</w:t>
            </w:r>
          </w:p>
        </w:tc>
      </w:tr>
    </w:tbl>
    <w:p>
      <w:pPr>
        <w:spacing w:before="200"/>
      </w:pPr>
      <w:r>
        <w:t xml:space="preserve">Now transactions before July 2024 link to Customer_Key 1001 (East), and transactions after link to 2847 (West). Historical accuracy preserved!</w:t>
      </w:r>
    </w:p>
    <w:p>
      <w:pPr>
        <w:spacing w:before="3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3E5F5" w:val="clear"/>
            <w:tcMar>
              <w:top w:type="dxa" w:w="80"/>
              <w:left w:type="dxa" w:w="120"/>
              <w:bottom w:type="dxa" w:w="80"/>
              <w:right w:type="dxa" w:w="120"/>
            </w:tcMar>
          </w:tcPr>
          <w:p>
            <w:pPr>
              <w:spacing w:after="120"/>
            </w:pPr>
            <w:r>
              <w:rPr>
                <w:b/>
                <w:bCs/>
                <w:color w:val="7B1FA2"/>
                <w:sz w:val="24"/>
                <w:szCs w:val="24"/>
              </w:rPr>
              <w:t xml:space="preserve">Interview Tip: SCD Type 2 is Gold</w:t>
            </w:r>
          </w:p>
          <w:p>
            <w:r>
              <w:t xml:space="preserve">When interviewers ask "how do you handle historical changes in dimensions?" they're looking for Type 2. Describe: new surrogate key, effective dates, current flag, and how fact tables link to the right version. This shows you understand real warehouse complexity.</w:t>
            </w:r>
          </w:p>
        </w:tc>
      </w:tr>
    </w:tbl>
    <w:p>
      <w:r>
        <w:br w:type="page"/>
      </w:r>
    </w:p>
    <w:p>
      <w:pPr>
        <w:pStyle w:val="Heading1"/>
      </w:pPr>
      <w:r>
        <w:t xml:space="preserve">Part 8: Practice Exercise</w:t>
      </w:r>
    </w:p>
    <w:p>
      <w:pPr>
        <w:pStyle w:val="Heading2"/>
      </w:pPr>
      <w:r>
        <w:t xml:space="preserve">Design Challenge: Account Opening Star Schema</w:t>
      </w:r>
    </w:p>
    <w:p>
      <w:pPr>
        <w:spacing w:after="200"/>
      </w:pPr>
      <w:r>
        <w:t xml:space="preserve">First National Bank wants to analyze account openings. They want to answer questions like:</w:t>
      </w:r>
    </w:p>
    <w:p>
      <w:pPr>
        <w:pStyle w:val="ListParagraph"/>
        <w:numPr>
          <w:ilvl w:val="0"/>
          <w:numId w:val="3"/>
        </w:numPr>
      </w:pPr>
      <w:r>
        <w:t xml:space="preserve">"How many accounts did we open by type by month?"</w:t>
      </w:r>
    </w:p>
    <w:p>
      <w:pPr>
        <w:pStyle w:val="ListParagraph"/>
        <w:numPr>
          <w:ilvl w:val="0"/>
          <w:numId w:val="3"/>
        </w:numPr>
      </w:pPr>
      <w:r>
        <w:t xml:space="preserve">"Which branches are best at acquiring new customers?"</w:t>
      </w:r>
    </w:p>
    <w:p>
      <w:pPr>
        <w:pStyle w:val="ListParagraph"/>
        <w:numPr>
          <w:ilvl w:val="0"/>
          <w:numId w:val="3"/>
        </w:numPr>
      </w:pPr>
      <w:r>
        <w:t xml:space="preserve">"What's our average initial deposit by customer segment?"</w:t>
      </w:r>
    </w:p>
    <w:p>
      <w:pPr>
        <w:pStyle w:val="ListParagraph"/>
        <w:numPr>
          <w:ilvl w:val="0"/>
          <w:numId w:val="3"/>
        </w:numPr>
      </w:pPr>
      <w:r>
        <w:t xml:space="preserve">"Which marketing campaigns drive the most account openings?"</w:t>
      </w:r>
    </w:p>
    <w:p>
      <w:pPr>
        <w:spacing w:before="200" w:after="200"/>
      </w:pPr>
      <w:r>
        <w:rPr>
          <w:b/>
          <w:bCs/>
        </w:rPr>
        <w:t xml:space="preserve">Your Task:</w:t>
      </w:r>
    </w:p>
    <w:p>
      <w:pPr>
        <w:pStyle w:val="ListParagraph"/>
        <w:numPr>
          <w:ilvl w:val="0"/>
          <w:numId w:val="2"/>
        </w:numPr>
      </w:pPr>
      <w:r>
        <w:rPr>
          <w:b/>
          <w:bCs/>
        </w:rPr>
        <w:t xml:space="preserve">Define the grain: </w:t>
      </w:r>
      <w:r>
        <w:t xml:space="preserve">What does one row in Fact_Account_Opening represent?</w:t>
      </w:r>
    </w:p>
    <w:p>
      <w:pPr>
        <w:pStyle w:val="ListParagraph"/>
        <w:numPr>
          <w:ilvl w:val="0"/>
          <w:numId w:val="2"/>
        </w:numPr>
      </w:pPr>
      <w:r>
        <w:rPr>
          <w:b/>
          <w:bCs/>
        </w:rPr>
        <w:t xml:space="preserve">Identify dimensions: </w:t>
      </w:r>
      <w:r>
        <w:t xml:space="preserve">What dimensions do you need? (Hint: think about every "by" in the questions)</w:t>
      </w:r>
    </w:p>
    <w:p>
      <w:pPr>
        <w:pStyle w:val="ListParagraph"/>
        <w:numPr>
          <w:ilvl w:val="0"/>
          <w:numId w:val="2"/>
        </w:numPr>
      </w:pPr>
      <w:r>
        <w:rPr>
          <w:b/>
          <w:bCs/>
        </w:rPr>
        <w:t xml:space="preserve">Define measures: </w:t>
      </w:r>
      <w:r>
        <w:t xml:space="preserve">What numeric values will you aggregate?</w:t>
      </w:r>
    </w:p>
    <w:p>
      <w:pPr>
        <w:pStyle w:val="ListParagraph"/>
        <w:numPr>
          <w:ilvl w:val="0"/>
          <w:numId w:val="2"/>
        </w:numPr>
      </w:pPr>
      <w:r>
        <w:rPr>
          <w:b/>
          <w:bCs/>
        </w:rPr>
        <w:t xml:space="preserve">Write a query: </w:t>
      </w:r>
      <w:r>
        <w:t xml:space="preserve">Answer "accounts opened by type by quarter for 2024"</w:t>
      </w:r>
    </w:p>
    <w:p>
      <w:pPr>
        <w:spacing w:before="300"/>
      </w:pPr>
    </w:p>
    <w:p>
      <w:pPr>
        <w:pStyle w:val="Heading3"/>
      </w:pPr>
      <w:r>
        <w:t xml:space="preserve">Workspace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5F5F5" w:val="clear"/>
            <w:tcMar>
              <w:top w:type="dxa" w:w="200"/>
              <w:left w:type="dxa" w:w="200"/>
              <w:bottom w:type="dxa" w:w="200"/>
              <w:right w:type="dxa" w:w="200"/>
            </w:tcMar>
          </w:tcPr>
          <w:p>
            <w:pPr>
              <w:spacing w:after="120"/>
            </w:pPr>
            <w:r>
              <w:rPr>
                <w:b/>
                <w:bCs/>
              </w:rPr>
              <w:t xml:space="preserve">Grain:</w:t>
            </w:r>
          </w:p>
          <w:p>
            <w:pPr>
              <w:spacing w:after="200"/>
            </w:pPr>
            <w:r>
              <w:t xml:space="preserve">One row = ________________________________________</w:t>
            </w:r>
          </w:p>
          <w:p>
            <w:pPr>
              <w:spacing w:after="120"/>
            </w:pPr>
            <w:r>
              <w:rPr>
                <w:b/>
                <w:bCs/>
              </w:rPr>
              <w:t xml:space="preserve">Fact Table Columns:</w:t>
            </w:r>
          </w:p>
          <w:p>
            <w:pPr>
              <w:spacing w:after="200"/>
            </w:pPr>
            <w:r>
              <w:t xml:space="preserve">_________________________________________________</w:t>
            </w:r>
          </w:p>
          <w:p>
            <w:pPr>
              <w:spacing w:after="120"/>
            </w:pPr>
            <w:r>
              <w:rPr>
                <w:b/>
                <w:bCs/>
              </w:rPr>
              <w:t xml:space="preserve">Dimensions Needed:</w:t>
            </w:r>
          </w:p>
          <w:p>
            <w:pPr>
              <w:spacing w:after="200"/>
            </w:pPr>
            <w:r>
              <w:t xml:space="preserve">_________________________________________________</w:t>
            </w:r>
          </w:p>
          <w:p>
            <w:pPr>
              <w:spacing w:after="120"/>
            </w:pPr>
            <w:r>
              <w:rPr>
                <w:b/>
                <w:bCs/>
              </w:rPr>
              <w:t xml:space="preserve">Measures:</w:t>
            </w:r>
          </w:p>
          <w:p>
            <w:r>
              <w:t xml:space="preserve">_________________________________________________</w:t>
            </w:r>
          </w:p>
        </w:tc>
      </w:tr>
    </w:tbl>
    <w:p>
      <w:r>
        <w:br w:type="page"/>
      </w:r>
    </w:p>
    <w:p>
      <w:pPr>
        <w:pStyle w:val="Heading1"/>
      </w:pPr>
      <w:r>
        <w:t xml:space="preserve">Key Takeaways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4FC" w:val="clear"/>
            <w:tcMar>
              <w:top w:type="dxa" w:w="80"/>
              <w:left w:type="dxa" w:w="120"/>
              <w:bottom w:type="dxa" w:w="80"/>
              <w:right w:type="dxa" w:w="120"/>
            </w:tcMar>
          </w:tcPr>
          <w:p>
            <w:pPr>
              <w:spacing w:after="120"/>
            </w:pPr>
            <w:r>
              <w:rPr>
                <w:b/>
                <w:bCs/>
                <w:color w:val="1E3A5F"/>
                <w:sz w:val="28"/>
                <w:szCs w:val="28"/>
              </w:rPr>
              <w:t xml:space="preserve">Remember These Points</w:t>
            </w:r>
          </w:p>
          <w:p>
            <w:pPr>
              <w:pStyle w:val="ListParagraph"/>
              <w:numPr>
                <w:ilvl w:val="0"/>
                <w:numId w:val="2"/>
              </w:numPr>
              <w:spacing w:after="80"/>
            </w:pPr>
            <w:r>
              <w:rPr>
                <w:b/>
                <w:bCs/>
              </w:rPr>
              <w:t xml:space="preserve">Facts are events with measures: </w:t>
            </w:r>
            <w:r>
              <w:t xml:space="preserve">Things that happened that you want to count or sum.</w:t>
            </w:r>
          </w:p>
          <w:p>
            <w:pPr>
              <w:pStyle w:val="ListParagraph"/>
              <w:numPr>
                <w:ilvl w:val="0"/>
                <w:numId w:val="2"/>
              </w:numPr>
              <w:spacing w:after="80"/>
            </w:pPr>
            <w:r>
              <w:rPr>
                <w:b/>
                <w:bCs/>
              </w:rPr>
              <w:t xml:space="preserve">Dimensions provide context: </w:t>
            </w:r>
            <w:r>
              <w:t xml:space="preserve">Who, what, where, when for filtering and grouping.</w:t>
            </w:r>
          </w:p>
          <w:p>
            <w:pPr>
              <w:pStyle w:val="ListParagraph"/>
              <w:numPr>
                <w:ilvl w:val="0"/>
                <w:numId w:val="2"/>
              </w:numPr>
              <w:spacing w:after="80"/>
            </w:pPr>
            <w:r>
              <w:rPr>
                <w:b/>
                <w:bCs/>
              </w:rPr>
              <w:t xml:space="preserve">Star schema = fact in center, dimensions around: </w:t>
            </w:r>
            <w:r>
              <w:t xml:space="preserve">Simple, fast, BI-friendly.</w:t>
            </w:r>
          </w:p>
          <w:p>
            <w:pPr>
              <w:pStyle w:val="ListParagraph"/>
              <w:numPr>
                <w:ilvl w:val="0"/>
                <w:numId w:val="2"/>
              </w:numPr>
              <w:spacing w:after="80"/>
            </w:pPr>
            <w:r>
              <w:rPr>
                <w:b/>
                <w:bCs/>
              </w:rPr>
              <w:t xml:space="preserve">Grain is critical: </w:t>
            </w:r>
            <w:r>
              <w:t xml:space="preserve">Define what one row represents before anything else.</w:t>
            </w:r>
          </w:p>
          <w:p>
            <w:pPr>
              <w:pStyle w:val="ListParagraph"/>
              <w:numPr>
                <w:ilvl w:val="0"/>
                <w:numId w:val="2"/>
              </w:numPr>
              <w:spacing w:after="80"/>
            </w:pPr>
            <w:r>
              <w:rPr>
                <w:b/>
                <w:bCs/>
              </w:rPr>
              <w:t xml:space="preserve">Denormalization is intentional: </w:t>
            </w:r>
            <w:r>
              <w:t xml:space="preserve">Duplicate data for query speed.</w:t>
            </w:r>
          </w:p>
          <w:p>
            <w:pPr>
              <w:pStyle w:val="ListParagraph"/>
              <w:numPr>
                <w:ilvl w:val="0"/>
                <w:numId w:val="2"/>
              </w:numPr>
              <w:spacing w:after="80"/>
            </w:pPr>
            <w:r>
              <w:rPr>
                <w:b/>
                <w:bCs/>
              </w:rPr>
              <w:t xml:space="preserve">Surrogate keys enable history: </w:t>
            </w:r>
            <w:r>
              <w:t xml:space="preserve">Warehouse-generated IDs, not source system IDs.</w:t>
            </w:r>
          </w:p>
          <w:p>
            <w:pPr>
              <w:pStyle w:val="ListParagraph"/>
              <w:numPr>
                <w:ilvl w:val="0"/>
                <w:numId w:val="2"/>
              </w:numPr>
              <w:spacing w:after="80"/>
            </w:pPr>
            <w:r>
              <w:rPr>
                <w:b/>
                <w:bCs/>
              </w:rPr>
              <w:t xml:space="preserve">Date dimension is essential: </w:t>
            </w:r>
            <w:r>
              <w:t xml:space="preserve">Pre-calculated time attributes enable rich analysis.</w:t>
            </w:r>
          </w:p>
          <w:p>
            <w:pPr>
              <w:pStyle w:val="ListParagraph"/>
              <w:numPr>
                <w:ilvl w:val="0"/>
                <w:numId w:val="2"/>
              </w:numPr>
            </w:pPr>
            <w:r>
              <w:rPr>
                <w:b/>
                <w:bCs/>
              </w:rPr>
              <w:t xml:space="preserve">SCD Type 2 preserves history: </w:t>
            </w:r>
            <w:r>
              <w:t xml:space="preserve">New rows with effective dates when dimensions change.</w:t>
            </w:r>
          </w:p>
        </w:tc>
      </w:tr>
    </w:tbl>
    <w:p>
      <w:pPr>
        <w:spacing w:before="400"/>
      </w:pPr>
    </w:p>
    <w:p>
      <w:pPr>
        <w:pStyle w:val="Heading2"/>
      </w:pPr>
      <w:r>
        <w:t xml:space="preserve">Looking Ahead: ETL Deep Dive</w:t>
      </w:r>
    </w:p>
    <w:p>
      <w:pPr>
        <w:spacing w:after="200"/>
      </w:pPr>
      <w:r>
        <w:t xml:space="preserve">In the next module, we'll explore the ETL process that actually </w:t>
      </w:r>
      <w:r>
        <w:rPr>
          <w:b/>
          <w:bCs/>
        </w:rPr>
        <w:t xml:space="preserve">builds</w:t>
      </w:r>
      <w:r>
        <w:t xml:space="preserve"> this dimensional model from operational data:</w:t>
      </w:r>
    </w:p>
    <w:p>
      <w:pPr>
        <w:pStyle w:val="ListParagraph"/>
        <w:numPr>
          <w:ilvl w:val="0"/>
          <w:numId w:val="3"/>
        </w:numPr>
      </w:pPr>
      <w:r>
        <w:rPr>
          <w:b/>
          <w:bCs/>
        </w:rPr>
        <w:t xml:space="preserve">Extraction patterns: </w:t>
      </w:r>
      <w:r>
        <w:t xml:space="preserve">Full loads vs. incremental loads</w:t>
      </w:r>
    </w:p>
    <w:p>
      <w:pPr>
        <w:pStyle w:val="ListParagraph"/>
        <w:numPr>
          <w:ilvl w:val="0"/>
          <w:numId w:val="3"/>
        </w:numPr>
      </w:pPr>
      <w:r>
        <w:rPr>
          <w:b/>
          <w:bCs/>
        </w:rPr>
        <w:t xml:space="preserve">Transformation logic: </w:t>
      </w:r>
      <w:r>
        <w:t xml:space="preserve">How to flatten the supertype/subtype into Dim_Account</w:t>
      </w:r>
    </w:p>
    <w:p>
      <w:pPr>
        <w:pStyle w:val="ListParagraph"/>
        <w:numPr>
          <w:ilvl w:val="0"/>
          <w:numId w:val="3"/>
        </w:numPr>
      </w:pPr>
      <w:r>
        <w:rPr>
          <w:b/>
          <w:bCs/>
        </w:rPr>
        <w:t xml:space="preserve">Loading strategies: </w:t>
      </w:r>
      <w:r>
        <w:t xml:space="preserve">Handling SCD Type 2 updates</w:t>
      </w:r>
    </w:p>
    <w:p>
      <w:pPr>
        <w:pStyle w:val="ListParagraph"/>
        <w:numPr>
          <w:ilvl w:val="0"/>
          <w:numId w:val="3"/>
        </w:numPr>
      </w:pPr>
      <w:r>
        <w:rPr>
          <w:b/>
          <w:bCs/>
        </w:rPr>
        <w:t xml:space="preserve">Data quality: </w:t>
      </w:r>
      <w:r>
        <w:t xml:space="preserve">What happens when source data is messy</w:t>
      </w:r>
    </w:p>
    <w:p>
      <w:pPr>
        <w:spacing w:before="4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pPr>
              <w:spacing w:after="120"/>
            </w:pPr>
            <w:r>
              <w:rPr>
                <w:b/>
                <w:bCs/>
                <w:color w:val="2E7D32"/>
                <w:sz w:val="24"/>
                <w:szCs w:val="24"/>
              </w:rPr>
              <w:t xml:space="preserve">The Complete Picture</w:t>
            </w:r>
          </w:p>
          <w:p>
            <w:r>
              <w:t xml:space="preserve">You now understand the full journey of banking data:</w:t>
            </w:r>
          </w:p>
          <w:p>
            <w:pPr>
              <w:spacing w:before="100"/>
            </w:pPr>
            <w:r>
              <w:rPr>
                <w:b/>
                <w:bCs/>
              </w:rPr>
              <w:t xml:space="preserve">Enhanced ERD</w:t>
            </w:r>
            <w:r>
              <w:t xml:space="preserve"> → </w:t>
            </w:r>
            <w:r>
              <w:rPr>
                <w:b/>
                <w:bCs/>
              </w:rPr>
              <w:t xml:space="preserve">OLTP Design</w:t>
            </w:r>
            <w:r>
              <w:t xml:space="preserve"> → </w:t>
            </w:r>
            <w:r>
              <w:rPr>
                <w:b/>
                <w:bCs/>
              </w:rPr>
              <w:t xml:space="preserve">Why We Need OLAP</w:t>
            </w:r>
            <w:r>
              <w:t xml:space="preserve"> → </w:t>
            </w:r>
            <w:r>
              <w:rPr>
                <w:b/>
                <w:bCs/>
              </w:rPr>
              <w:t xml:space="preserve">Dimensional Modeling</w:t>
            </w:r>
          </w:p>
          <w:p>
            <w:pPr>
              <w:spacing w:before="100"/>
            </w:pPr>
            <w:r>
              <w:t xml:space="preserve">Same data, optimized for different purposes. That's the essence of modern data architecture.</w:t>
            </w:r>
          </w:p>
        </w:tc>
      </w:tr>
    </w:tbl>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40"/>
      <w:outlineLvl w:val="0"/>
    </w:pPr>
    <w:rPr>
      <w:rFonts w:ascii="Arial" w:cs="Arial" w:eastAsia="Arial" w:hAnsi="Arial"/>
      <w:b/>
      <w:bCs/>
      <w:color w:val="1E3A5F"/>
      <w:sz w:val="36"/>
      <w:szCs w:val="36"/>
    </w:rPr>
  </w:style>
  <w:style w:type="paragraph" w:styleId="Heading2">
    <w:name w:val="Heading 2"/>
    <w:basedOn w:val="Normal"/>
    <w:next w:val="Normal"/>
    <w:qFormat/>
    <w:pPr>
      <w:spacing w:before="280" w:after="160"/>
      <w:outlineLvl w:val="1"/>
    </w:pPr>
    <w:rPr>
      <w:rFonts w:ascii="Arial" w:cs="Arial" w:eastAsia="Arial" w:hAnsi="Arial"/>
      <w:b/>
      <w:bCs/>
      <w:color w:val="1E3A5F"/>
      <w:sz w:val="28"/>
      <w:szCs w:val="28"/>
    </w:rPr>
  </w:style>
  <w:style w:type="paragraph" w:styleId="Heading3">
    <w:name w:val="Heading 3"/>
    <w:basedOn w:val="Normal"/>
    <w:next w:val="Normal"/>
    <w:qFormat/>
    <w:pPr>
      <w:spacing w:before="240" w:after="120"/>
      <w:outlineLvl w:val="2"/>
    </w:pPr>
    <w:rPr>
      <w:rFonts w:ascii="Arial" w:cs="Arial" w:eastAsia="Arial" w:hAnsi="Arial"/>
      <w:b/>
      <w:bCs/>
      <w:color w:val="2E7D32"/>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2026-02-05T17:25:18.525Z</dcterms:created>
  <dcterms:modified xsi:type="dcterms:W3CDTF">2026-02-05T17:25:18.526Z</dcterms:modified>
</cp:coreProperties>
</file>

<file path=docProps/custom.xml><?xml version="1.0" encoding="utf-8"?>
<Properties xmlns="http://schemas.openxmlformats.org/officeDocument/2006/custom-properties" xmlns:vt="http://schemas.openxmlformats.org/officeDocument/2006/docPropsVTypes"/>
</file>